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539A9" w14:paraId="555CEAB0" w14:textId="77777777">
        <w:tblPrEx>
          <w:tblCellMar>
            <w:top w:w="0" w:type="dxa"/>
            <w:bottom w:w="0" w:type="dxa"/>
          </w:tblCellMar>
        </w:tblPrEx>
        <w:trPr>
          <w:tblCellSpacing w:w="60" w:type="dxa"/>
        </w:trPr>
        <w:tc>
          <w:tcPr>
            <w:tcW w:w="1200" w:type="pct"/>
            <w:shd w:val="clear" w:color="auto" w:fill="E7F0F9"/>
          </w:tcPr>
          <w:p w14:paraId="703A656B" w14:textId="77777777" w:rsidR="001539A9" w:rsidRDefault="00000000">
            <w:pPr>
              <w:spacing w:after="0" w:line="240" w:lineRule="auto"/>
            </w:pPr>
            <w:r>
              <w:rPr>
                <w:b/>
              </w:rPr>
              <w:t>RKP broj</w:t>
            </w:r>
          </w:p>
        </w:tc>
        <w:tc>
          <w:tcPr>
            <w:tcW w:w="0" w:type="auto"/>
            <w:shd w:val="clear" w:color="auto" w:fill="E7F0F9"/>
          </w:tcPr>
          <w:p w14:paraId="0B519F67" w14:textId="77777777" w:rsidR="001539A9" w:rsidRDefault="00000000">
            <w:pPr>
              <w:spacing w:after="0" w:line="240" w:lineRule="auto"/>
            </w:pPr>
            <w:r>
              <w:t>48234</w:t>
            </w:r>
          </w:p>
        </w:tc>
      </w:tr>
      <w:tr w:rsidR="001539A9" w14:paraId="1F6BAE0D" w14:textId="77777777">
        <w:tblPrEx>
          <w:tblCellMar>
            <w:top w:w="0" w:type="dxa"/>
            <w:bottom w:w="0" w:type="dxa"/>
          </w:tblCellMar>
        </w:tblPrEx>
        <w:trPr>
          <w:tblCellSpacing w:w="60" w:type="dxa"/>
        </w:trPr>
        <w:tc>
          <w:tcPr>
            <w:tcW w:w="1200" w:type="pct"/>
            <w:shd w:val="clear" w:color="auto" w:fill="E7F0F9"/>
          </w:tcPr>
          <w:p w14:paraId="68A44B96" w14:textId="77777777" w:rsidR="001539A9" w:rsidRDefault="00000000">
            <w:pPr>
              <w:spacing w:after="0" w:line="240" w:lineRule="auto"/>
            </w:pPr>
            <w:r>
              <w:rPr>
                <w:b/>
              </w:rPr>
              <w:t>Naziv obveznika</w:t>
            </w:r>
          </w:p>
        </w:tc>
        <w:tc>
          <w:tcPr>
            <w:tcW w:w="0" w:type="auto"/>
            <w:shd w:val="clear" w:color="auto" w:fill="E7F0F9"/>
          </w:tcPr>
          <w:p w14:paraId="01F497AE" w14:textId="77777777" w:rsidR="001539A9" w:rsidRDefault="00000000">
            <w:pPr>
              <w:spacing w:after="0" w:line="240" w:lineRule="auto"/>
            </w:pPr>
            <w:r>
              <w:t>RAZVOJNA AGENCIJA VTA</w:t>
            </w:r>
          </w:p>
        </w:tc>
      </w:tr>
      <w:tr w:rsidR="001539A9" w14:paraId="314B0DCB" w14:textId="77777777">
        <w:tblPrEx>
          <w:tblCellMar>
            <w:top w:w="0" w:type="dxa"/>
            <w:bottom w:w="0" w:type="dxa"/>
          </w:tblCellMar>
        </w:tblPrEx>
        <w:trPr>
          <w:tblCellSpacing w:w="60" w:type="dxa"/>
        </w:trPr>
        <w:tc>
          <w:tcPr>
            <w:tcW w:w="1200" w:type="pct"/>
            <w:shd w:val="clear" w:color="auto" w:fill="E7F0F9"/>
          </w:tcPr>
          <w:p w14:paraId="0100F947" w14:textId="77777777" w:rsidR="001539A9" w:rsidRDefault="00000000">
            <w:pPr>
              <w:spacing w:after="0" w:line="240" w:lineRule="auto"/>
            </w:pPr>
            <w:r>
              <w:rPr>
                <w:b/>
              </w:rPr>
              <w:t>Razina</w:t>
            </w:r>
          </w:p>
        </w:tc>
        <w:tc>
          <w:tcPr>
            <w:tcW w:w="0" w:type="auto"/>
            <w:shd w:val="clear" w:color="auto" w:fill="E7F0F9"/>
          </w:tcPr>
          <w:p w14:paraId="1D67C707" w14:textId="77777777" w:rsidR="001539A9" w:rsidRDefault="00000000">
            <w:pPr>
              <w:spacing w:after="0" w:line="240" w:lineRule="auto"/>
            </w:pPr>
            <w:r>
              <w:t>21</w:t>
            </w:r>
          </w:p>
        </w:tc>
      </w:tr>
    </w:tbl>
    <w:p w14:paraId="275CF735" w14:textId="77777777" w:rsidR="001539A9" w:rsidRDefault="00000000">
      <w:r>
        <w:br/>
      </w:r>
    </w:p>
    <w:p w14:paraId="34846EE7" w14:textId="77777777" w:rsidR="001539A9" w:rsidRDefault="00000000">
      <w:pPr>
        <w:spacing w:line="240" w:lineRule="auto"/>
        <w:jc w:val="center"/>
      </w:pPr>
      <w:r>
        <w:rPr>
          <w:b/>
          <w:sz w:val="28"/>
        </w:rPr>
        <w:t>BILJEŠKE UZ FINANCIJSKE IZVJEŠTAJE</w:t>
      </w:r>
    </w:p>
    <w:p w14:paraId="579F706A" w14:textId="77777777" w:rsidR="001539A9" w:rsidRDefault="00000000">
      <w:pPr>
        <w:spacing w:line="240" w:lineRule="auto"/>
        <w:jc w:val="center"/>
      </w:pPr>
      <w:r>
        <w:rPr>
          <w:b/>
          <w:sz w:val="28"/>
        </w:rPr>
        <w:t>ZA RAZDOBLJE</w:t>
      </w:r>
    </w:p>
    <w:p w14:paraId="1AA8888F" w14:textId="77777777" w:rsidR="001539A9" w:rsidRDefault="00000000">
      <w:pPr>
        <w:spacing w:line="240" w:lineRule="auto"/>
        <w:jc w:val="center"/>
      </w:pPr>
      <w:r>
        <w:rPr>
          <w:b/>
          <w:sz w:val="28"/>
        </w:rPr>
        <w:t>I - XII 2025.</w:t>
      </w:r>
    </w:p>
    <w:p w14:paraId="4E8BA346" w14:textId="77777777" w:rsidR="001539A9" w:rsidRDefault="001539A9"/>
    <w:p w14:paraId="5E039FA7" w14:textId="77777777" w:rsidR="001539A9" w:rsidRDefault="00000000">
      <w:pPr>
        <w:keepNext/>
        <w:spacing w:line="240" w:lineRule="auto"/>
        <w:jc w:val="center"/>
      </w:pPr>
      <w:r>
        <w:rPr>
          <w:b/>
          <w:sz w:val="28"/>
        </w:rPr>
        <w:t>Izvještaj o prihodima i rashodima, primicima i izdacima</w:t>
      </w:r>
    </w:p>
    <w:p w14:paraId="4C10A0BC" w14:textId="77777777" w:rsidR="001539A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6CB07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328AF"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6C99FD"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5C65A3"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3F940"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6E00B1"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1D441E" w14:textId="77777777" w:rsidR="001539A9" w:rsidRDefault="00000000">
            <w:pPr>
              <w:keepNext/>
              <w:keepLines/>
              <w:spacing w:after="0" w:line="240" w:lineRule="auto"/>
              <w:jc w:val="center"/>
            </w:pPr>
            <w:r>
              <w:rPr>
                <w:b/>
                <w:sz w:val="18"/>
              </w:rPr>
              <w:t>Indeks (%)</w:t>
            </w:r>
          </w:p>
        </w:tc>
      </w:tr>
      <w:tr w:rsidR="001539A9" w14:paraId="2FD52596" w14:textId="77777777">
        <w:tblPrEx>
          <w:tblCellMar>
            <w:top w:w="0" w:type="dxa"/>
            <w:bottom w:w="0" w:type="dxa"/>
          </w:tblCellMar>
        </w:tblPrEx>
        <w:trPr>
          <w:cantSplit/>
          <w:trHeight w:val="560"/>
        </w:trPr>
        <w:tc>
          <w:tcPr>
            <w:tcW w:w="700" w:type="dxa"/>
            <w:tcMar>
              <w:top w:w="0" w:type="dxa"/>
              <w:bottom w:w="0" w:type="dxa"/>
            </w:tcMar>
            <w:vAlign w:val="center"/>
          </w:tcPr>
          <w:p w14:paraId="65DCEA08" w14:textId="77777777" w:rsidR="001539A9" w:rsidRDefault="00000000">
            <w:pPr>
              <w:keepNext/>
              <w:keepLines/>
              <w:spacing w:after="0" w:line="240" w:lineRule="auto"/>
            </w:pPr>
            <w:r>
              <w:rPr>
                <w:sz w:val="18"/>
              </w:rPr>
              <w:t>6</w:t>
            </w:r>
          </w:p>
        </w:tc>
        <w:tc>
          <w:tcPr>
            <w:tcW w:w="3180" w:type="dxa"/>
            <w:tcMar>
              <w:top w:w="0" w:type="dxa"/>
              <w:bottom w:w="0" w:type="dxa"/>
            </w:tcMar>
            <w:vAlign w:val="center"/>
          </w:tcPr>
          <w:p w14:paraId="670B108B" w14:textId="77777777" w:rsidR="001539A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E8683F5" w14:textId="77777777" w:rsidR="001539A9" w:rsidRDefault="00000000">
            <w:pPr>
              <w:keepNext/>
              <w:keepLines/>
              <w:spacing w:after="0" w:line="240" w:lineRule="auto"/>
            </w:pPr>
            <w:r>
              <w:rPr>
                <w:sz w:val="18"/>
              </w:rPr>
              <w:t>6</w:t>
            </w:r>
          </w:p>
        </w:tc>
        <w:tc>
          <w:tcPr>
            <w:tcW w:w="1860" w:type="dxa"/>
            <w:tcMar>
              <w:top w:w="0" w:type="dxa"/>
              <w:bottom w:w="0" w:type="dxa"/>
            </w:tcMar>
            <w:vAlign w:val="center"/>
          </w:tcPr>
          <w:p w14:paraId="79811136" w14:textId="77777777" w:rsidR="001539A9" w:rsidRDefault="00000000">
            <w:pPr>
              <w:keepNext/>
              <w:keepLines/>
              <w:spacing w:after="0" w:line="240" w:lineRule="auto"/>
              <w:jc w:val="right"/>
            </w:pPr>
            <w:r>
              <w:rPr>
                <w:sz w:val="18"/>
              </w:rPr>
              <w:t>678.525,68</w:t>
            </w:r>
          </w:p>
        </w:tc>
        <w:tc>
          <w:tcPr>
            <w:tcW w:w="1860" w:type="dxa"/>
            <w:tcMar>
              <w:top w:w="0" w:type="dxa"/>
              <w:bottom w:w="0" w:type="dxa"/>
            </w:tcMar>
            <w:vAlign w:val="center"/>
          </w:tcPr>
          <w:p w14:paraId="677E4232" w14:textId="77777777" w:rsidR="001539A9" w:rsidRDefault="00000000">
            <w:pPr>
              <w:keepNext/>
              <w:keepLines/>
              <w:spacing w:after="0" w:line="240" w:lineRule="auto"/>
              <w:jc w:val="right"/>
            </w:pPr>
            <w:r>
              <w:rPr>
                <w:sz w:val="18"/>
              </w:rPr>
              <w:t>721.987,59</w:t>
            </w:r>
          </w:p>
        </w:tc>
        <w:tc>
          <w:tcPr>
            <w:tcW w:w="700" w:type="dxa"/>
            <w:tcMar>
              <w:top w:w="0" w:type="dxa"/>
              <w:bottom w:w="0" w:type="dxa"/>
            </w:tcMar>
            <w:vAlign w:val="center"/>
          </w:tcPr>
          <w:p w14:paraId="71BE627C" w14:textId="77777777" w:rsidR="001539A9" w:rsidRDefault="00000000">
            <w:pPr>
              <w:keepNext/>
              <w:keepLines/>
              <w:spacing w:after="0" w:line="240" w:lineRule="auto"/>
              <w:jc w:val="right"/>
            </w:pPr>
            <w:r>
              <w:rPr>
                <w:sz w:val="18"/>
              </w:rPr>
              <w:t>106,4</w:t>
            </w:r>
          </w:p>
        </w:tc>
      </w:tr>
      <w:tr w:rsidR="001539A9" w14:paraId="13452AE3" w14:textId="77777777">
        <w:tblPrEx>
          <w:tblCellMar>
            <w:top w:w="0" w:type="dxa"/>
            <w:bottom w:w="0" w:type="dxa"/>
          </w:tblCellMar>
        </w:tblPrEx>
        <w:trPr>
          <w:cantSplit/>
          <w:trHeight w:val="560"/>
        </w:trPr>
        <w:tc>
          <w:tcPr>
            <w:tcW w:w="700" w:type="dxa"/>
            <w:tcMar>
              <w:top w:w="0" w:type="dxa"/>
              <w:bottom w:w="0" w:type="dxa"/>
            </w:tcMar>
            <w:vAlign w:val="center"/>
          </w:tcPr>
          <w:p w14:paraId="1F0FACC2" w14:textId="77777777" w:rsidR="001539A9" w:rsidRDefault="00000000">
            <w:pPr>
              <w:keepNext/>
              <w:keepLines/>
              <w:spacing w:after="0" w:line="240" w:lineRule="auto"/>
            </w:pPr>
            <w:r>
              <w:rPr>
                <w:sz w:val="18"/>
              </w:rPr>
              <w:t>3</w:t>
            </w:r>
          </w:p>
        </w:tc>
        <w:tc>
          <w:tcPr>
            <w:tcW w:w="3180" w:type="dxa"/>
            <w:tcMar>
              <w:top w:w="0" w:type="dxa"/>
              <w:bottom w:w="0" w:type="dxa"/>
            </w:tcMar>
            <w:vAlign w:val="center"/>
          </w:tcPr>
          <w:p w14:paraId="376349F8" w14:textId="77777777" w:rsidR="001539A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7199179" w14:textId="77777777" w:rsidR="001539A9" w:rsidRDefault="00000000">
            <w:pPr>
              <w:keepNext/>
              <w:keepLines/>
              <w:spacing w:after="0" w:line="240" w:lineRule="auto"/>
            </w:pPr>
            <w:r>
              <w:rPr>
                <w:sz w:val="18"/>
              </w:rPr>
              <w:t>3</w:t>
            </w:r>
          </w:p>
        </w:tc>
        <w:tc>
          <w:tcPr>
            <w:tcW w:w="1860" w:type="dxa"/>
            <w:tcMar>
              <w:top w:w="0" w:type="dxa"/>
              <w:bottom w:w="0" w:type="dxa"/>
            </w:tcMar>
            <w:vAlign w:val="center"/>
          </w:tcPr>
          <w:p w14:paraId="2AEEBBC1" w14:textId="77777777" w:rsidR="001539A9" w:rsidRDefault="00000000">
            <w:pPr>
              <w:keepNext/>
              <w:keepLines/>
              <w:spacing w:after="0" w:line="240" w:lineRule="auto"/>
              <w:jc w:val="right"/>
            </w:pPr>
            <w:r>
              <w:rPr>
                <w:sz w:val="18"/>
              </w:rPr>
              <w:t>672.642,51</w:t>
            </w:r>
          </w:p>
        </w:tc>
        <w:tc>
          <w:tcPr>
            <w:tcW w:w="1860" w:type="dxa"/>
            <w:tcMar>
              <w:top w:w="0" w:type="dxa"/>
              <w:bottom w:w="0" w:type="dxa"/>
            </w:tcMar>
            <w:vAlign w:val="center"/>
          </w:tcPr>
          <w:p w14:paraId="23A5AB10" w14:textId="77777777" w:rsidR="001539A9" w:rsidRDefault="00000000">
            <w:pPr>
              <w:keepNext/>
              <w:keepLines/>
              <w:spacing w:after="0" w:line="240" w:lineRule="auto"/>
              <w:jc w:val="right"/>
            </w:pPr>
            <w:r>
              <w:rPr>
                <w:sz w:val="18"/>
              </w:rPr>
              <w:t>765.721,04</w:t>
            </w:r>
          </w:p>
        </w:tc>
        <w:tc>
          <w:tcPr>
            <w:tcW w:w="700" w:type="dxa"/>
            <w:tcMar>
              <w:top w:w="0" w:type="dxa"/>
              <w:bottom w:w="0" w:type="dxa"/>
            </w:tcMar>
            <w:vAlign w:val="center"/>
          </w:tcPr>
          <w:p w14:paraId="25A05763" w14:textId="77777777" w:rsidR="001539A9" w:rsidRDefault="00000000">
            <w:pPr>
              <w:keepNext/>
              <w:keepLines/>
              <w:spacing w:after="0" w:line="240" w:lineRule="auto"/>
              <w:jc w:val="right"/>
            </w:pPr>
            <w:r>
              <w:rPr>
                <w:sz w:val="18"/>
              </w:rPr>
              <w:t>113,8</w:t>
            </w:r>
          </w:p>
        </w:tc>
      </w:tr>
      <w:tr w:rsidR="001539A9" w14:paraId="5437C178" w14:textId="77777777">
        <w:tblPrEx>
          <w:tblCellMar>
            <w:top w:w="0" w:type="dxa"/>
            <w:bottom w:w="0" w:type="dxa"/>
          </w:tblCellMar>
        </w:tblPrEx>
        <w:trPr>
          <w:cantSplit/>
          <w:trHeight w:val="560"/>
        </w:trPr>
        <w:tc>
          <w:tcPr>
            <w:tcW w:w="700" w:type="dxa"/>
            <w:tcMar>
              <w:top w:w="0" w:type="dxa"/>
              <w:bottom w:w="0" w:type="dxa"/>
            </w:tcMar>
            <w:vAlign w:val="center"/>
          </w:tcPr>
          <w:p w14:paraId="5F8B0999" w14:textId="77777777" w:rsidR="001539A9" w:rsidRDefault="001539A9">
            <w:pPr>
              <w:keepNext/>
              <w:keepLines/>
              <w:spacing w:after="0" w:line="240" w:lineRule="auto"/>
            </w:pPr>
          </w:p>
        </w:tc>
        <w:tc>
          <w:tcPr>
            <w:tcW w:w="3180" w:type="dxa"/>
            <w:tcMar>
              <w:top w:w="0" w:type="dxa"/>
              <w:bottom w:w="0" w:type="dxa"/>
            </w:tcMar>
            <w:vAlign w:val="center"/>
          </w:tcPr>
          <w:p w14:paraId="73FC2931" w14:textId="77777777" w:rsidR="001539A9"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BC52B3F" w14:textId="77777777" w:rsidR="001539A9" w:rsidRDefault="00000000">
            <w:pPr>
              <w:keepNext/>
              <w:keepLines/>
              <w:spacing w:after="0" w:line="240" w:lineRule="auto"/>
            </w:pPr>
            <w:r>
              <w:rPr>
                <w:b/>
                <w:sz w:val="18"/>
              </w:rPr>
              <w:t>Y001</w:t>
            </w:r>
          </w:p>
        </w:tc>
        <w:tc>
          <w:tcPr>
            <w:tcW w:w="1860" w:type="dxa"/>
            <w:tcMar>
              <w:top w:w="0" w:type="dxa"/>
              <w:bottom w:w="0" w:type="dxa"/>
            </w:tcMar>
            <w:vAlign w:val="center"/>
          </w:tcPr>
          <w:p w14:paraId="4618DFD6" w14:textId="77777777" w:rsidR="001539A9" w:rsidRDefault="00000000">
            <w:pPr>
              <w:keepNext/>
              <w:keepLines/>
              <w:spacing w:after="0" w:line="240" w:lineRule="auto"/>
              <w:jc w:val="right"/>
            </w:pPr>
            <w:r>
              <w:rPr>
                <w:b/>
                <w:sz w:val="18"/>
              </w:rPr>
              <w:t>0,00</w:t>
            </w:r>
          </w:p>
        </w:tc>
        <w:tc>
          <w:tcPr>
            <w:tcW w:w="1860" w:type="dxa"/>
            <w:tcMar>
              <w:top w:w="0" w:type="dxa"/>
              <w:bottom w:w="0" w:type="dxa"/>
            </w:tcMar>
            <w:vAlign w:val="center"/>
          </w:tcPr>
          <w:p w14:paraId="434FE750" w14:textId="77777777" w:rsidR="001539A9" w:rsidRDefault="00000000">
            <w:pPr>
              <w:keepNext/>
              <w:keepLines/>
              <w:spacing w:after="0" w:line="240" w:lineRule="auto"/>
              <w:jc w:val="right"/>
            </w:pPr>
            <w:r>
              <w:rPr>
                <w:b/>
                <w:sz w:val="18"/>
              </w:rPr>
              <w:t>43.733,45</w:t>
            </w:r>
          </w:p>
        </w:tc>
        <w:tc>
          <w:tcPr>
            <w:tcW w:w="700" w:type="dxa"/>
            <w:tcMar>
              <w:top w:w="0" w:type="dxa"/>
              <w:bottom w:w="0" w:type="dxa"/>
            </w:tcMar>
            <w:vAlign w:val="center"/>
          </w:tcPr>
          <w:p w14:paraId="6B69C858" w14:textId="77777777" w:rsidR="001539A9" w:rsidRDefault="00000000">
            <w:pPr>
              <w:keepNext/>
              <w:keepLines/>
              <w:spacing w:after="0" w:line="240" w:lineRule="auto"/>
              <w:jc w:val="right"/>
            </w:pPr>
            <w:r>
              <w:rPr>
                <w:b/>
                <w:sz w:val="18"/>
              </w:rPr>
              <w:t>-</w:t>
            </w:r>
          </w:p>
        </w:tc>
      </w:tr>
      <w:tr w:rsidR="001539A9" w14:paraId="327B53D6" w14:textId="77777777">
        <w:tblPrEx>
          <w:tblCellMar>
            <w:top w:w="0" w:type="dxa"/>
            <w:bottom w:w="0" w:type="dxa"/>
          </w:tblCellMar>
        </w:tblPrEx>
        <w:trPr>
          <w:cantSplit/>
          <w:trHeight w:val="560"/>
        </w:trPr>
        <w:tc>
          <w:tcPr>
            <w:tcW w:w="700" w:type="dxa"/>
            <w:tcMar>
              <w:top w:w="0" w:type="dxa"/>
              <w:bottom w:w="0" w:type="dxa"/>
            </w:tcMar>
            <w:vAlign w:val="center"/>
          </w:tcPr>
          <w:p w14:paraId="7A05E8D7" w14:textId="77777777" w:rsidR="001539A9" w:rsidRDefault="00000000">
            <w:pPr>
              <w:keepNext/>
              <w:keepLines/>
              <w:spacing w:after="0" w:line="240" w:lineRule="auto"/>
            </w:pPr>
            <w:r>
              <w:rPr>
                <w:sz w:val="18"/>
              </w:rPr>
              <w:t>7</w:t>
            </w:r>
          </w:p>
        </w:tc>
        <w:tc>
          <w:tcPr>
            <w:tcW w:w="3180" w:type="dxa"/>
            <w:tcMar>
              <w:top w:w="0" w:type="dxa"/>
              <w:bottom w:w="0" w:type="dxa"/>
            </w:tcMar>
            <w:vAlign w:val="center"/>
          </w:tcPr>
          <w:p w14:paraId="4FC26E8D" w14:textId="77777777" w:rsidR="001539A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117E72B" w14:textId="77777777" w:rsidR="001539A9" w:rsidRDefault="00000000">
            <w:pPr>
              <w:keepNext/>
              <w:keepLines/>
              <w:spacing w:after="0" w:line="240" w:lineRule="auto"/>
            </w:pPr>
            <w:r>
              <w:rPr>
                <w:sz w:val="18"/>
              </w:rPr>
              <w:t>7</w:t>
            </w:r>
          </w:p>
        </w:tc>
        <w:tc>
          <w:tcPr>
            <w:tcW w:w="1860" w:type="dxa"/>
            <w:tcMar>
              <w:top w:w="0" w:type="dxa"/>
              <w:bottom w:w="0" w:type="dxa"/>
            </w:tcMar>
            <w:vAlign w:val="center"/>
          </w:tcPr>
          <w:p w14:paraId="3D0C558E"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1D3B0905"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7CD5D5E3" w14:textId="77777777" w:rsidR="001539A9" w:rsidRDefault="00000000">
            <w:pPr>
              <w:keepNext/>
              <w:keepLines/>
              <w:spacing w:after="0" w:line="240" w:lineRule="auto"/>
              <w:jc w:val="right"/>
            </w:pPr>
            <w:r>
              <w:rPr>
                <w:sz w:val="18"/>
              </w:rPr>
              <w:t>-</w:t>
            </w:r>
          </w:p>
        </w:tc>
      </w:tr>
      <w:tr w:rsidR="001539A9" w14:paraId="7D7145E3" w14:textId="77777777">
        <w:tblPrEx>
          <w:tblCellMar>
            <w:top w:w="0" w:type="dxa"/>
            <w:bottom w:w="0" w:type="dxa"/>
          </w:tblCellMar>
        </w:tblPrEx>
        <w:trPr>
          <w:cantSplit/>
          <w:trHeight w:val="560"/>
        </w:trPr>
        <w:tc>
          <w:tcPr>
            <w:tcW w:w="700" w:type="dxa"/>
            <w:tcMar>
              <w:top w:w="0" w:type="dxa"/>
              <w:bottom w:w="0" w:type="dxa"/>
            </w:tcMar>
            <w:vAlign w:val="center"/>
          </w:tcPr>
          <w:p w14:paraId="404C01A6" w14:textId="77777777" w:rsidR="001539A9" w:rsidRDefault="00000000">
            <w:pPr>
              <w:keepNext/>
              <w:keepLines/>
              <w:spacing w:after="0" w:line="240" w:lineRule="auto"/>
            </w:pPr>
            <w:r>
              <w:rPr>
                <w:sz w:val="18"/>
              </w:rPr>
              <w:t>4</w:t>
            </w:r>
          </w:p>
        </w:tc>
        <w:tc>
          <w:tcPr>
            <w:tcW w:w="3180" w:type="dxa"/>
            <w:tcMar>
              <w:top w:w="0" w:type="dxa"/>
              <w:bottom w:w="0" w:type="dxa"/>
            </w:tcMar>
            <w:vAlign w:val="center"/>
          </w:tcPr>
          <w:p w14:paraId="3EE80D07" w14:textId="77777777" w:rsidR="001539A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748A992" w14:textId="77777777" w:rsidR="001539A9" w:rsidRDefault="00000000">
            <w:pPr>
              <w:keepNext/>
              <w:keepLines/>
              <w:spacing w:after="0" w:line="240" w:lineRule="auto"/>
            </w:pPr>
            <w:r>
              <w:rPr>
                <w:sz w:val="18"/>
              </w:rPr>
              <w:t>4</w:t>
            </w:r>
          </w:p>
        </w:tc>
        <w:tc>
          <w:tcPr>
            <w:tcW w:w="1860" w:type="dxa"/>
            <w:tcMar>
              <w:top w:w="0" w:type="dxa"/>
              <w:bottom w:w="0" w:type="dxa"/>
            </w:tcMar>
            <w:vAlign w:val="center"/>
          </w:tcPr>
          <w:p w14:paraId="699E32AF"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750B4BF2" w14:textId="77777777" w:rsidR="001539A9" w:rsidRDefault="00000000">
            <w:pPr>
              <w:keepNext/>
              <w:keepLines/>
              <w:spacing w:after="0" w:line="240" w:lineRule="auto"/>
              <w:jc w:val="right"/>
            </w:pPr>
            <w:r>
              <w:rPr>
                <w:sz w:val="18"/>
              </w:rPr>
              <w:t>13.806,25</w:t>
            </w:r>
          </w:p>
        </w:tc>
        <w:tc>
          <w:tcPr>
            <w:tcW w:w="700" w:type="dxa"/>
            <w:tcMar>
              <w:top w:w="0" w:type="dxa"/>
              <w:bottom w:w="0" w:type="dxa"/>
            </w:tcMar>
            <w:vAlign w:val="center"/>
          </w:tcPr>
          <w:p w14:paraId="4D6D8417" w14:textId="77777777" w:rsidR="001539A9" w:rsidRDefault="00000000">
            <w:pPr>
              <w:keepNext/>
              <w:keepLines/>
              <w:spacing w:after="0" w:line="240" w:lineRule="auto"/>
              <w:jc w:val="right"/>
            </w:pPr>
            <w:r>
              <w:rPr>
                <w:sz w:val="18"/>
              </w:rPr>
              <w:t>299,2</w:t>
            </w:r>
          </w:p>
        </w:tc>
      </w:tr>
      <w:tr w:rsidR="001539A9" w14:paraId="6EAB66C6" w14:textId="77777777">
        <w:tblPrEx>
          <w:tblCellMar>
            <w:top w:w="0" w:type="dxa"/>
            <w:bottom w:w="0" w:type="dxa"/>
          </w:tblCellMar>
        </w:tblPrEx>
        <w:trPr>
          <w:cantSplit/>
          <w:trHeight w:val="560"/>
        </w:trPr>
        <w:tc>
          <w:tcPr>
            <w:tcW w:w="700" w:type="dxa"/>
            <w:tcMar>
              <w:top w:w="0" w:type="dxa"/>
              <w:bottom w:w="0" w:type="dxa"/>
            </w:tcMar>
            <w:vAlign w:val="center"/>
          </w:tcPr>
          <w:p w14:paraId="7D930601" w14:textId="77777777" w:rsidR="001539A9" w:rsidRDefault="001539A9">
            <w:pPr>
              <w:keepNext/>
              <w:keepLines/>
              <w:spacing w:after="0" w:line="240" w:lineRule="auto"/>
            </w:pPr>
          </w:p>
        </w:tc>
        <w:tc>
          <w:tcPr>
            <w:tcW w:w="3180" w:type="dxa"/>
            <w:tcMar>
              <w:top w:w="0" w:type="dxa"/>
              <w:bottom w:w="0" w:type="dxa"/>
            </w:tcMar>
            <w:vAlign w:val="center"/>
          </w:tcPr>
          <w:p w14:paraId="0C5A4DFA" w14:textId="77777777" w:rsidR="001539A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F6E1BCD" w14:textId="77777777" w:rsidR="001539A9" w:rsidRDefault="00000000">
            <w:pPr>
              <w:keepNext/>
              <w:keepLines/>
              <w:spacing w:after="0" w:line="240" w:lineRule="auto"/>
            </w:pPr>
            <w:r>
              <w:rPr>
                <w:b/>
                <w:sz w:val="18"/>
              </w:rPr>
              <w:t>Y002</w:t>
            </w:r>
          </w:p>
        </w:tc>
        <w:tc>
          <w:tcPr>
            <w:tcW w:w="1860" w:type="dxa"/>
            <w:tcMar>
              <w:top w:w="0" w:type="dxa"/>
              <w:bottom w:w="0" w:type="dxa"/>
            </w:tcMar>
            <w:vAlign w:val="center"/>
          </w:tcPr>
          <w:p w14:paraId="3E2D7937" w14:textId="77777777" w:rsidR="001539A9" w:rsidRDefault="00000000">
            <w:pPr>
              <w:keepNext/>
              <w:keepLines/>
              <w:spacing w:after="0" w:line="240" w:lineRule="auto"/>
              <w:jc w:val="right"/>
            </w:pPr>
            <w:r>
              <w:rPr>
                <w:b/>
                <w:sz w:val="18"/>
              </w:rPr>
              <w:t>4.614,54</w:t>
            </w:r>
          </w:p>
        </w:tc>
        <w:tc>
          <w:tcPr>
            <w:tcW w:w="1860" w:type="dxa"/>
            <w:tcMar>
              <w:top w:w="0" w:type="dxa"/>
              <w:bottom w:w="0" w:type="dxa"/>
            </w:tcMar>
            <w:vAlign w:val="center"/>
          </w:tcPr>
          <w:p w14:paraId="719002A0" w14:textId="77777777" w:rsidR="001539A9" w:rsidRDefault="00000000">
            <w:pPr>
              <w:keepNext/>
              <w:keepLines/>
              <w:spacing w:after="0" w:line="240" w:lineRule="auto"/>
              <w:jc w:val="right"/>
            </w:pPr>
            <w:r>
              <w:rPr>
                <w:b/>
                <w:sz w:val="18"/>
              </w:rPr>
              <w:t>13.806,25</w:t>
            </w:r>
          </w:p>
        </w:tc>
        <w:tc>
          <w:tcPr>
            <w:tcW w:w="700" w:type="dxa"/>
            <w:tcMar>
              <w:top w:w="0" w:type="dxa"/>
              <w:bottom w:w="0" w:type="dxa"/>
            </w:tcMar>
            <w:vAlign w:val="center"/>
          </w:tcPr>
          <w:p w14:paraId="3CC1B78D" w14:textId="77777777" w:rsidR="001539A9" w:rsidRDefault="00000000">
            <w:pPr>
              <w:keepNext/>
              <w:keepLines/>
              <w:spacing w:after="0" w:line="240" w:lineRule="auto"/>
              <w:jc w:val="right"/>
            </w:pPr>
            <w:r>
              <w:rPr>
                <w:b/>
                <w:sz w:val="18"/>
              </w:rPr>
              <w:t>299,2</w:t>
            </w:r>
          </w:p>
        </w:tc>
      </w:tr>
      <w:tr w:rsidR="001539A9" w14:paraId="2FBE8638" w14:textId="77777777">
        <w:tblPrEx>
          <w:tblCellMar>
            <w:top w:w="0" w:type="dxa"/>
            <w:bottom w:w="0" w:type="dxa"/>
          </w:tblCellMar>
        </w:tblPrEx>
        <w:trPr>
          <w:cantSplit/>
          <w:trHeight w:val="560"/>
        </w:trPr>
        <w:tc>
          <w:tcPr>
            <w:tcW w:w="700" w:type="dxa"/>
            <w:tcMar>
              <w:top w:w="0" w:type="dxa"/>
              <w:bottom w:w="0" w:type="dxa"/>
            </w:tcMar>
            <w:vAlign w:val="center"/>
          </w:tcPr>
          <w:p w14:paraId="4092AFDE" w14:textId="77777777" w:rsidR="001539A9" w:rsidRDefault="00000000">
            <w:pPr>
              <w:keepNext/>
              <w:keepLines/>
              <w:spacing w:after="0" w:line="240" w:lineRule="auto"/>
            </w:pPr>
            <w:r>
              <w:rPr>
                <w:sz w:val="18"/>
              </w:rPr>
              <w:t>8</w:t>
            </w:r>
          </w:p>
        </w:tc>
        <w:tc>
          <w:tcPr>
            <w:tcW w:w="3180" w:type="dxa"/>
            <w:tcMar>
              <w:top w:w="0" w:type="dxa"/>
              <w:bottom w:w="0" w:type="dxa"/>
            </w:tcMar>
            <w:vAlign w:val="center"/>
          </w:tcPr>
          <w:p w14:paraId="5671ADE4" w14:textId="77777777" w:rsidR="001539A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228E04A" w14:textId="77777777" w:rsidR="001539A9" w:rsidRDefault="00000000">
            <w:pPr>
              <w:keepNext/>
              <w:keepLines/>
              <w:spacing w:after="0" w:line="240" w:lineRule="auto"/>
            </w:pPr>
            <w:r>
              <w:rPr>
                <w:sz w:val="18"/>
              </w:rPr>
              <w:t>8</w:t>
            </w:r>
          </w:p>
        </w:tc>
        <w:tc>
          <w:tcPr>
            <w:tcW w:w="1860" w:type="dxa"/>
            <w:tcMar>
              <w:top w:w="0" w:type="dxa"/>
              <w:bottom w:w="0" w:type="dxa"/>
            </w:tcMar>
            <w:vAlign w:val="center"/>
          </w:tcPr>
          <w:p w14:paraId="55315644"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60C7514F"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59871F09" w14:textId="77777777" w:rsidR="001539A9" w:rsidRDefault="00000000">
            <w:pPr>
              <w:keepNext/>
              <w:keepLines/>
              <w:spacing w:after="0" w:line="240" w:lineRule="auto"/>
              <w:jc w:val="right"/>
            </w:pPr>
            <w:r>
              <w:rPr>
                <w:sz w:val="18"/>
              </w:rPr>
              <w:t>-</w:t>
            </w:r>
          </w:p>
        </w:tc>
      </w:tr>
      <w:tr w:rsidR="001539A9" w14:paraId="7BB98FF3" w14:textId="77777777">
        <w:tblPrEx>
          <w:tblCellMar>
            <w:top w:w="0" w:type="dxa"/>
            <w:bottom w:w="0" w:type="dxa"/>
          </w:tblCellMar>
        </w:tblPrEx>
        <w:trPr>
          <w:cantSplit/>
          <w:trHeight w:val="560"/>
        </w:trPr>
        <w:tc>
          <w:tcPr>
            <w:tcW w:w="700" w:type="dxa"/>
            <w:tcMar>
              <w:top w:w="0" w:type="dxa"/>
              <w:bottom w:w="0" w:type="dxa"/>
            </w:tcMar>
            <w:vAlign w:val="center"/>
          </w:tcPr>
          <w:p w14:paraId="3B2FE60A" w14:textId="77777777" w:rsidR="001539A9" w:rsidRDefault="00000000">
            <w:pPr>
              <w:keepNext/>
              <w:keepLines/>
              <w:spacing w:after="0" w:line="240" w:lineRule="auto"/>
            </w:pPr>
            <w:r>
              <w:rPr>
                <w:sz w:val="18"/>
              </w:rPr>
              <w:t>5</w:t>
            </w:r>
          </w:p>
        </w:tc>
        <w:tc>
          <w:tcPr>
            <w:tcW w:w="3180" w:type="dxa"/>
            <w:tcMar>
              <w:top w:w="0" w:type="dxa"/>
              <w:bottom w:w="0" w:type="dxa"/>
            </w:tcMar>
            <w:vAlign w:val="center"/>
          </w:tcPr>
          <w:p w14:paraId="3798E35A" w14:textId="77777777" w:rsidR="001539A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F56C5BD" w14:textId="77777777" w:rsidR="001539A9" w:rsidRDefault="00000000">
            <w:pPr>
              <w:keepNext/>
              <w:keepLines/>
              <w:spacing w:after="0" w:line="240" w:lineRule="auto"/>
            </w:pPr>
            <w:r>
              <w:rPr>
                <w:sz w:val="18"/>
              </w:rPr>
              <w:t>5</w:t>
            </w:r>
          </w:p>
        </w:tc>
        <w:tc>
          <w:tcPr>
            <w:tcW w:w="1860" w:type="dxa"/>
            <w:tcMar>
              <w:top w:w="0" w:type="dxa"/>
              <w:bottom w:w="0" w:type="dxa"/>
            </w:tcMar>
            <w:vAlign w:val="center"/>
          </w:tcPr>
          <w:p w14:paraId="3EECDFE4"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20560DF7"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206271EF" w14:textId="77777777" w:rsidR="001539A9" w:rsidRDefault="00000000">
            <w:pPr>
              <w:keepNext/>
              <w:keepLines/>
              <w:spacing w:after="0" w:line="240" w:lineRule="auto"/>
              <w:jc w:val="right"/>
            </w:pPr>
            <w:r>
              <w:rPr>
                <w:sz w:val="18"/>
              </w:rPr>
              <w:t>-</w:t>
            </w:r>
          </w:p>
        </w:tc>
      </w:tr>
      <w:tr w:rsidR="001539A9" w14:paraId="7865B31A" w14:textId="77777777">
        <w:tblPrEx>
          <w:tblCellMar>
            <w:top w:w="0" w:type="dxa"/>
            <w:bottom w:w="0" w:type="dxa"/>
          </w:tblCellMar>
        </w:tblPrEx>
        <w:trPr>
          <w:cantSplit/>
          <w:trHeight w:val="560"/>
        </w:trPr>
        <w:tc>
          <w:tcPr>
            <w:tcW w:w="700" w:type="dxa"/>
            <w:tcMar>
              <w:top w:w="0" w:type="dxa"/>
              <w:bottom w:w="0" w:type="dxa"/>
            </w:tcMar>
            <w:vAlign w:val="center"/>
          </w:tcPr>
          <w:p w14:paraId="18D44AFA" w14:textId="77777777" w:rsidR="001539A9" w:rsidRDefault="001539A9">
            <w:pPr>
              <w:keepNext/>
              <w:keepLines/>
              <w:spacing w:after="0" w:line="240" w:lineRule="auto"/>
            </w:pPr>
          </w:p>
        </w:tc>
        <w:tc>
          <w:tcPr>
            <w:tcW w:w="3180" w:type="dxa"/>
            <w:tcMar>
              <w:top w:w="0" w:type="dxa"/>
              <w:bottom w:w="0" w:type="dxa"/>
            </w:tcMar>
            <w:vAlign w:val="center"/>
          </w:tcPr>
          <w:p w14:paraId="234D094D" w14:textId="77777777" w:rsidR="001539A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D6A9674" w14:textId="77777777" w:rsidR="001539A9" w:rsidRDefault="00000000">
            <w:pPr>
              <w:keepNext/>
              <w:keepLines/>
              <w:spacing w:after="0" w:line="240" w:lineRule="auto"/>
            </w:pPr>
            <w:r>
              <w:rPr>
                <w:b/>
                <w:sz w:val="18"/>
              </w:rPr>
              <w:t>X003, Y003</w:t>
            </w:r>
          </w:p>
        </w:tc>
        <w:tc>
          <w:tcPr>
            <w:tcW w:w="1860" w:type="dxa"/>
            <w:tcMar>
              <w:top w:w="0" w:type="dxa"/>
              <w:bottom w:w="0" w:type="dxa"/>
            </w:tcMar>
            <w:vAlign w:val="center"/>
          </w:tcPr>
          <w:p w14:paraId="5D1AC4EB" w14:textId="77777777" w:rsidR="001539A9" w:rsidRDefault="00000000">
            <w:pPr>
              <w:keepNext/>
              <w:keepLines/>
              <w:spacing w:after="0" w:line="240" w:lineRule="auto"/>
              <w:jc w:val="right"/>
            </w:pPr>
            <w:r>
              <w:rPr>
                <w:b/>
                <w:sz w:val="18"/>
              </w:rPr>
              <w:t>0,00</w:t>
            </w:r>
          </w:p>
        </w:tc>
        <w:tc>
          <w:tcPr>
            <w:tcW w:w="1860" w:type="dxa"/>
            <w:tcMar>
              <w:top w:w="0" w:type="dxa"/>
              <w:bottom w:w="0" w:type="dxa"/>
            </w:tcMar>
            <w:vAlign w:val="center"/>
          </w:tcPr>
          <w:p w14:paraId="670150F9" w14:textId="77777777" w:rsidR="001539A9" w:rsidRDefault="00000000">
            <w:pPr>
              <w:keepNext/>
              <w:keepLines/>
              <w:spacing w:after="0" w:line="240" w:lineRule="auto"/>
              <w:jc w:val="right"/>
            </w:pPr>
            <w:r>
              <w:rPr>
                <w:b/>
                <w:sz w:val="18"/>
              </w:rPr>
              <w:t>0,00</w:t>
            </w:r>
          </w:p>
        </w:tc>
        <w:tc>
          <w:tcPr>
            <w:tcW w:w="700" w:type="dxa"/>
            <w:tcMar>
              <w:top w:w="0" w:type="dxa"/>
              <w:bottom w:w="0" w:type="dxa"/>
            </w:tcMar>
            <w:vAlign w:val="center"/>
          </w:tcPr>
          <w:p w14:paraId="388C45FC" w14:textId="77777777" w:rsidR="001539A9" w:rsidRDefault="00000000">
            <w:pPr>
              <w:keepNext/>
              <w:keepLines/>
              <w:spacing w:after="0" w:line="240" w:lineRule="auto"/>
              <w:jc w:val="right"/>
            </w:pPr>
            <w:r>
              <w:rPr>
                <w:b/>
                <w:sz w:val="18"/>
              </w:rPr>
              <w:t>-</w:t>
            </w:r>
          </w:p>
        </w:tc>
      </w:tr>
      <w:tr w:rsidR="001539A9" w14:paraId="6F7AB11B" w14:textId="77777777">
        <w:tblPrEx>
          <w:tblCellMar>
            <w:top w:w="0" w:type="dxa"/>
            <w:bottom w:w="0" w:type="dxa"/>
          </w:tblCellMar>
        </w:tblPrEx>
        <w:trPr>
          <w:cantSplit/>
          <w:trHeight w:val="560"/>
        </w:trPr>
        <w:tc>
          <w:tcPr>
            <w:tcW w:w="700" w:type="dxa"/>
            <w:tcMar>
              <w:top w:w="0" w:type="dxa"/>
              <w:bottom w:w="0" w:type="dxa"/>
            </w:tcMar>
            <w:vAlign w:val="center"/>
          </w:tcPr>
          <w:p w14:paraId="7094F57D" w14:textId="77777777" w:rsidR="001539A9" w:rsidRDefault="001539A9">
            <w:pPr>
              <w:keepNext/>
              <w:keepLines/>
              <w:spacing w:after="0" w:line="240" w:lineRule="auto"/>
            </w:pPr>
          </w:p>
        </w:tc>
        <w:tc>
          <w:tcPr>
            <w:tcW w:w="3180" w:type="dxa"/>
            <w:tcMar>
              <w:top w:w="0" w:type="dxa"/>
              <w:bottom w:w="0" w:type="dxa"/>
            </w:tcMar>
            <w:vAlign w:val="center"/>
          </w:tcPr>
          <w:p w14:paraId="1D9A9ECB" w14:textId="77777777" w:rsidR="001539A9"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FCA9841" w14:textId="77777777" w:rsidR="001539A9" w:rsidRDefault="00000000">
            <w:pPr>
              <w:keepNext/>
              <w:keepLines/>
              <w:spacing w:after="0" w:line="240" w:lineRule="auto"/>
            </w:pPr>
            <w:r>
              <w:rPr>
                <w:b/>
                <w:sz w:val="18"/>
              </w:rPr>
              <w:t>Y005</w:t>
            </w:r>
          </w:p>
        </w:tc>
        <w:tc>
          <w:tcPr>
            <w:tcW w:w="1860" w:type="dxa"/>
            <w:tcMar>
              <w:top w:w="0" w:type="dxa"/>
              <w:bottom w:w="0" w:type="dxa"/>
            </w:tcMar>
            <w:vAlign w:val="center"/>
          </w:tcPr>
          <w:p w14:paraId="2A3FCC88" w14:textId="77777777" w:rsidR="001539A9" w:rsidRDefault="00000000">
            <w:pPr>
              <w:keepNext/>
              <w:keepLines/>
              <w:spacing w:after="0" w:line="240" w:lineRule="auto"/>
              <w:jc w:val="right"/>
            </w:pPr>
            <w:r>
              <w:rPr>
                <w:b/>
                <w:sz w:val="18"/>
              </w:rPr>
              <w:t>0,00</w:t>
            </w:r>
          </w:p>
        </w:tc>
        <w:tc>
          <w:tcPr>
            <w:tcW w:w="1860" w:type="dxa"/>
            <w:tcMar>
              <w:top w:w="0" w:type="dxa"/>
              <w:bottom w:w="0" w:type="dxa"/>
            </w:tcMar>
            <w:vAlign w:val="center"/>
          </w:tcPr>
          <w:p w14:paraId="6C964BDB" w14:textId="77777777" w:rsidR="001539A9" w:rsidRDefault="00000000">
            <w:pPr>
              <w:keepNext/>
              <w:keepLines/>
              <w:spacing w:after="0" w:line="240" w:lineRule="auto"/>
              <w:jc w:val="right"/>
            </w:pPr>
            <w:r>
              <w:rPr>
                <w:b/>
                <w:sz w:val="18"/>
              </w:rPr>
              <w:t>57.539,70</w:t>
            </w:r>
          </w:p>
        </w:tc>
        <w:tc>
          <w:tcPr>
            <w:tcW w:w="700" w:type="dxa"/>
            <w:tcMar>
              <w:top w:w="0" w:type="dxa"/>
              <w:bottom w:w="0" w:type="dxa"/>
            </w:tcMar>
            <w:vAlign w:val="center"/>
          </w:tcPr>
          <w:p w14:paraId="5CE8F137" w14:textId="77777777" w:rsidR="001539A9" w:rsidRDefault="00000000">
            <w:pPr>
              <w:keepNext/>
              <w:keepLines/>
              <w:spacing w:after="0" w:line="240" w:lineRule="auto"/>
              <w:jc w:val="right"/>
            </w:pPr>
            <w:r>
              <w:rPr>
                <w:b/>
                <w:sz w:val="18"/>
              </w:rPr>
              <w:t>-</w:t>
            </w:r>
          </w:p>
        </w:tc>
      </w:tr>
    </w:tbl>
    <w:p w14:paraId="50E948C0" w14:textId="77777777" w:rsidR="001539A9" w:rsidRDefault="001539A9">
      <w:pPr>
        <w:spacing w:after="0"/>
      </w:pPr>
    </w:p>
    <w:p w14:paraId="2098D5FA" w14:textId="77777777" w:rsidR="001539A9" w:rsidRDefault="00000000">
      <w:r>
        <w:t>Prihodi poslovanja Razvojne agencije VTA nastaju većim dijelom iz nadležnog proračuna, a manjim dijelom vlastitim prihodima ostvarenim na tržištu pružanjem konzultantskih usluga. Prihodi iz nadležnog proračuna rastu sukladno povećanju rashoda poslovanja. Rashodi poslovanja bilježe porast u odnosu na prethodno promatrano razdoblje najvećim dijelom zbog povećanja rashoda za zaposlene i materijalnih rashoda. Rashodi za nabavu nefinancijske imovine odnose se na kupovinu uredskog namještaja te računala, uređaja i ostale opreme.</w:t>
      </w:r>
    </w:p>
    <w:p w14:paraId="2255A4B3" w14:textId="77777777" w:rsidR="001539A9" w:rsidRDefault="00000000">
      <w:r>
        <w:lastRenderedPageBreak/>
        <w:br/>
      </w:r>
    </w:p>
    <w:p w14:paraId="4A9C2870" w14:textId="77777777" w:rsidR="001539A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7CFCC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C8407B"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5E88D3"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3CDD6"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EC53A6"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1D707"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30B92" w14:textId="77777777" w:rsidR="001539A9" w:rsidRDefault="00000000">
            <w:pPr>
              <w:keepNext/>
              <w:keepLines/>
              <w:spacing w:after="0" w:line="240" w:lineRule="auto"/>
              <w:jc w:val="center"/>
            </w:pPr>
            <w:r>
              <w:rPr>
                <w:b/>
                <w:sz w:val="18"/>
              </w:rPr>
              <w:t>Indeks (%)</w:t>
            </w:r>
          </w:p>
        </w:tc>
      </w:tr>
      <w:tr w:rsidR="001539A9" w14:paraId="454AD43A" w14:textId="77777777">
        <w:tblPrEx>
          <w:tblCellMar>
            <w:top w:w="0" w:type="dxa"/>
            <w:bottom w:w="0" w:type="dxa"/>
          </w:tblCellMar>
        </w:tblPrEx>
        <w:trPr>
          <w:cantSplit/>
          <w:trHeight w:val="560"/>
        </w:trPr>
        <w:tc>
          <w:tcPr>
            <w:tcW w:w="700" w:type="dxa"/>
            <w:tcMar>
              <w:top w:w="0" w:type="dxa"/>
              <w:bottom w:w="0" w:type="dxa"/>
            </w:tcMar>
            <w:vAlign w:val="center"/>
          </w:tcPr>
          <w:p w14:paraId="19EF1DD3" w14:textId="77777777" w:rsidR="001539A9" w:rsidRDefault="00000000">
            <w:pPr>
              <w:keepNext/>
              <w:keepLines/>
              <w:spacing w:after="0" w:line="240" w:lineRule="auto"/>
            </w:pPr>
            <w:r>
              <w:rPr>
                <w:sz w:val="18"/>
              </w:rPr>
              <w:t>6</w:t>
            </w:r>
          </w:p>
        </w:tc>
        <w:tc>
          <w:tcPr>
            <w:tcW w:w="3180" w:type="dxa"/>
            <w:tcMar>
              <w:top w:w="0" w:type="dxa"/>
              <w:bottom w:w="0" w:type="dxa"/>
            </w:tcMar>
            <w:vAlign w:val="center"/>
          </w:tcPr>
          <w:p w14:paraId="0557D7FC" w14:textId="77777777" w:rsidR="001539A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6059818" w14:textId="77777777" w:rsidR="001539A9" w:rsidRDefault="00000000">
            <w:pPr>
              <w:keepNext/>
              <w:keepLines/>
              <w:spacing w:after="0" w:line="240" w:lineRule="auto"/>
            </w:pPr>
            <w:r>
              <w:rPr>
                <w:sz w:val="18"/>
              </w:rPr>
              <w:t>6</w:t>
            </w:r>
          </w:p>
        </w:tc>
        <w:tc>
          <w:tcPr>
            <w:tcW w:w="1860" w:type="dxa"/>
            <w:tcMar>
              <w:top w:w="0" w:type="dxa"/>
              <w:bottom w:w="0" w:type="dxa"/>
            </w:tcMar>
            <w:vAlign w:val="center"/>
          </w:tcPr>
          <w:p w14:paraId="6FA89760" w14:textId="77777777" w:rsidR="001539A9" w:rsidRDefault="00000000">
            <w:pPr>
              <w:keepNext/>
              <w:keepLines/>
              <w:spacing w:after="0" w:line="240" w:lineRule="auto"/>
              <w:jc w:val="right"/>
            </w:pPr>
            <w:r>
              <w:rPr>
                <w:sz w:val="18"/>
              </w:rPr>
              <w:t>678.525,68</w:t>
            </w:r>
          </w:p>
        </w:tc>
        <w:tc>
          <w:tcPr>
            <w:tcW w:w="1860" w:type="dxa"/>
            <w:tcMar>
              <w:top w:w="0" w:type="dxa"/>
              <w:bottom w:w="0" w:type="dxa"/>
            </w:tcMar>
            <w:vAlign w:val="center"/>
          </w:tcPr>
          <w:p w14:paraId="31C422BB" w14:textId="77777777" w:rsidR="001539A9" w:rsidRDefault="00000000">
            <w:pPr>
              <w:keepNext/>
              <w:keepLines/>
              <w:spacing w:after="0" w:line="240" w:lineRule="auto"/>
              <w:jc w:val="right"/>
            </w:pPr>
            <w:r>
              <w:rPr>
                <w:sz w:val="18"/>
              </w:rPr>
              <w:t>721.987,59</w:t>
            </w:r>
          </w:p>
        </w:tc>
        <w:tc>
          <w:tcPr>
            <w:tcW w:w="700" w:type="dxa"/>
            <w:tcMar>
              <w:top w:w="0" w:type="dxa"/>
              <w:bottom w:w="0" w:type="dxa"/>
            </w:tcMar>
            <w:vAlign w:val="center"/>
          </w:tcPr>
          <w:p w14:paraId="4C75264A" w14:textId="77777777" w:rsidR="001539A9" w:rsidRDefault="00000000">
            <w:pPr>
              <w:keepNext/>
              <w:keepLines/>
              <w:spacing w:after="0" w:line="240" w:lineRule="auto"/>
              <w:jc w:val="right"/>
            </w:pPr>
            <w:r>
              <w:rPr>
                <w:sz w:val="18"/>
              </w:rPr>
              <w:t>106,4</w:t>
            </w:r>
          </w:p>
        </w:tc>
      </w:tr>
    </w:tbl>
    <w:p w14:paraId="62BC8BC3" w14:textId="77777777" w:rsidR="001539A9" w:rsidRDefault="001539A9">
      <w:pPr>
        <w:spacing w:after="0"/>
      </w:pPr>
    </w:p>
    <w:p w14:paraId="764A97BF" w14:textId="77777777" w:rsidR="001539A9" w:rsidRDefault="00000000">
      <w:r>
        <w:t>Prihodi poslovanja u izvještajnom razdoblju iznosili su 721.987,59 eura, što je za 43.461,91 eura više u odnosu na prethodno razdoblje. Povećanje prihoda poslovanja rezultat je povećanja prihoda iz nadležnog proračuna (šifra 67) te povećanja prihoda od pruženih usluga (šifra 66).</w:t>
      </w:r>
    </w:p>
    <w:p w14:paraId="26AC6769" w14:textId="77777777" w:rsidR="001539A9" w:rsidRDefault="001539A9"/>
    <w:p w14:paraId="3F07E5B6" w14:textId="77777777" w:rsidR="001539A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D9C26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4444B"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BCCE8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4C16B7"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0461F"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5ECC5B"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2A8A2" w14:textId="77777777" w:rsidR="001539A9" w:rsidRDefault="00000000">
            <w:pPr>
              <w:keepNext/>
              <w:keepLines/>
              <w:spacing w:after="0" w:line="240" w:lineRule="auto"/>
              <w:jc w:val="center"/>
            </w:pPr>
            <w:r>
              <w:rPr>
                <w:b/>
                <w:sz w:val="18"/>
              </w:rPr>
              <w:t>Indeks (%)</w:t>
            </w:r>
          </w:p>
        </w:tc>
      </w:tr>
      <w:tr w:rsidR="001539A9" w14:paraId="66A97E9D" w14:textId="77777777">
        <w:tblPrEx>
          <w:tblCellMar>
            <w:top w:w="0" w:type="dxa"/>
            <w:bottom w:w="0" w:type="dxa"/>
          </w:tblCellMar>
        </w:tblPrEx>
        <w:trPr>
          <w:cantSplit/>
          <w:trHeight w:val="560"/>
        </w:trPr>
        <w:tc>
          <w:tcPr>
            <w:tcW w:w="700" w:type="dxa"/>
            <w:tcMar>
              <w:top w:w="0" w:type="dxa"/>
              <w:bottom w:w="0" w:type="dxa"/>
            </w:tcMar>
            <w:vAlign w:val="center"/>
          </w:tcPr>
          <w:p w14:paraId="0A6D4481" w14:textId="77777777" w:rsidR="001539A9" w:rsidRDefault="00000000">
            <w:pPr>
              <w:keepNext/>
              <w:keepLines/>
              <w:spacing w:after="0" w:line="240" w:lineRule="auto"/>
            </w:pPr>
            <w:r>
              <w:rPr>
                <w:sz w:val="18"/>
              </w:rPr>
              <w:t>6615</w:t>
            </w:r>
          </w:p>
        </w:tc>
        <w:tc>
          <w:tcPr>
            <w:tcW w:w="3180" w:type="dxa"/>
            <w:tcMar>
              <w:top w:w="0" w:type="dxa"/>
              <w:bottom w:w="0" w:type="dxa"/>
            </w:tcMar>
            <w:vAlign w:val="center"/>
          </w:tcPr>
          <w:p w14:paraId="1CE9B2AD" w14:textId="77777777" w:rsidR="001539A9"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C7857F6" w14:textId="77777777" w:rsidR="001539A9" w:rsidRDefault="00000000">
            <w:pPr>
              <w:keepNext/>
              <w:keepLines/>
              <w:spacing w:after="0" w:line="240" w:lineRule="auto"/>
            </w:pPr>
            <w:r>
              <w:rPr>
                <w:sz w:val="18"/>
              </w:rPr>
              <w:t>6615</w:t>
            </w:r>
          </w:p>
        </w:tc>
        <w:tc>
          <w:tcPr>
            <w:tcW w:w="1860" w:type="dxa"/>
            <w:tcMar>
              <w:top w:w="0" w:type="dxa"/>
              <w:bottom w:w="0" w:type="dxa"/>
            </w:tcMar>
            <w:vAlign w:val="center"/>
          </w:tcPr>
          <w:p w14:paraId="3FD34C4A" w14:textId="77777777" w:rsidR="001539A9" w:rsidRDefault="00000000">
            <w:pPr>
              <w:keepNext/>
              <w:keepLines/>
              <w:spacing w:after="0" w:line="240" w:lineRule="auto"/>
              <w:jc w:val="right"/>
            </w:pPr>
            <w:r>
              <w:rPr>
                <w:sz w:val="18"/>
              </w:rPr>
              <w:t>5.882,95</w:t>
            </w:r>
          </w:p>
        </w:tc>
        <w:tc>
          <w:tcPr>
            <w:tcW w:w="1860" w:type="dxa"/>
            <w:tcMar>
              <w:top w:w="0" w:type="dxa"/>
              <w:bottom w:w="0" w:type="dxa"/>
            </w:tcMar>
            <w:vAlign w:val="center"/>
          </w:tcPr>
          <w:p w14:paraId="28227725" w14:textId="77777777" w:rsidR="001539A9" w:rsidRDefault="00000000">
            <w:pPr>
              <w:keepNext/>
              <w:keepLines/>
              <w:spacing w:after="0" w:line="240" w:lineRule="auto"/>
              <w:jc w:val="right"/>
            </w:pPr>
            <w:r>
              <w:rPr>
                <w:sz w:val="18"/>
              </w:rPr>
              <w:t>8.552,25</w:t>
            </w:r>
          </w:p>
        </w:tc>
        <w:tc>
          <w:tcPr>
            <w:tcW w:w="700" w:type="dxa"/>
            <w:tcMar>
              <w:top w:w="0" w:type="dxa"/>
              <w:bottom w:w="0" w:type="dxa"/>
            </w:tcMar>
            <w:vAlign w:val="center"/>
          </w:tcPr>
          <w:p w14:paraId="4D418C20" w14:textId="77777777" w:rsidR="001539A9" w:rsidRDefault="00000000">
            <w:pPr>
              <w:keepNext/>
              <w:keepLines/>
              <w:spacing w:after="0" w:line="240" w:lineRule="auto"/>
              <w:jc w:val="right"/>
            </w:pPr>
            <w:r>
              <w:rPr>
                <w:sz w:val="18"/>
              </w:rPr>
              <w:t>145,4</w:t>
            </w:r>
          </w:p>
        </w:tc>
      </w:tr>
    </w:tbl>
    <w:p w14:paraId="0F6B48D2" w14:textId="77777777" w:rsidR="001539A9" w:rsidRDefault="001539A9">
      <w:pPr>
        <w:spacing w:after="0"/>
      </w:pPr>
    </w:p>
    <w:p w14:paraId="21D55677" w14:textId="77777777" w:rsidR="001539A9" w:rsidRDefault="00000000">
      <w:r>
        <w:t>Prihodi od pruženih usluga u izvještajnom razdoblju iznosili su 8.552,25 eura, što predstavlja povećanje indeksom 145,4 u odnosu na prethodno razdoblje. Povećanje prihoda rezultat je većeg broja tržišnih projekata, odnosno sklopljenih novih ugovora o pružanju konzultantskih usluga.</w:t>
      </w:r>
    </w:p>
    <w:p w14:paraId="1062D339" w14:textId="77777777" w:rsidR="001539A9" w:rsidRDefault="001539A9"/>
    <w:p w14:paraId="3A4DE9D4" w14:textId="77777777" w:rsidR="001539A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8595C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1045B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4FD6F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F7DA17"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67BF2"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DD9B7"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162369" w14:textId="77777777" w:rsidR="001539A9" w:rsidRDefault="00000000">
            <w:pPr>
              <w:keepNext/>
              <w:keepLines/>
              <w:spacing w:after="0" w:line="240" w:lineRule="auto"/>
              <w:jc w:val="center"/>
            </w:pPr>
            <w:r>
              <w:rPr>
                <w:b/>
                <w:sz w:val="18"/>
              </w:rPr>
              <w:t>Indeks (%)</w:t>
            </w:r>
          </w:p>
        </w:tc>
      </w:tr>
      <w:tr w:rsidR="001539A9" w14:paraId="1241D861" w14:textId="77777777">
        <w:tblPrEx>
          <w:tblCellMar>
            <w:top w:w="0" w:type="dxa"/>
            <w:bottom w:w="0" w:type="dxa"/>
          </w:tblCellMar>
        </w:tblPrEx>
        <w:trPr>
          <w:cantSplit/>
          <w:trHeight w:val="560"/>
        </w:trPr>
        <w:tc>
          <w:tcPr>
            <w:tcW w:w="700" w:type="dxa"/>
            <w:tcMar>
              <w:top w:w="0" w:type="dxa"/>
              <w:bottom w:w="0" w:type="dxa"/>
            </w:tcMar>
            <w:vAlign w:val="center"/>
          </w:tcPr>
          <w:p w14:paraId="173E369A" w14:textId="77777777" w:rsidR="001539A9" w:rsidRDefault="00000000">
            <w:pPr>
              <w:keepNext/>
              <w:keepLines/>
              <w:spacing w:after="0" w:line="240" w:lineRule="auto"/>
            </w:pPr>
            <w:r>
              <w:rPr>
                <w:sz w:val="18"/>
              </w:rPr>
              <w:t>6711</w:t>
            </w:r>
          </w:p>
        </w:tc>
        <w:tc>
          <w:tcPr>
            <w:tcW w:w="3180" w:type="dxa"/>
            <w:tcMar>
              <w:top w:w="0" w:type="dxa"/>
              <w:bottom w:w="0" w:type="dxa"/>
            </w:tcMar>
            <w:vAlign w:val="center"/>
          </w:tcPr>
          <w:p w14:paraId="48C169EB" w14:textId="77777777" w:rsidR="001539A9"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F092A26" w14:textId="77777777" w:rsidR="001539A9" w:rsidRDefault="00000000">
            <w:pPr>
              <w:keepNext/>
              <w:keepLines/>
              <w:spacing w:after="0" w:line="240" w:lineRule="auto"/>
            </w:pPr>
            <w:r>
              <w:rPr>
                <w:sz w:val="18"/>
              </w:rPr>
              <w:t>6711</w:t>
            </w:r>
          </w:p>
        </w:tc>
        <w:tc>
          <w:tcPr>
            <w:tcW w:w="1860" w:type="dxa"/>
            <w:tcMar>
              <w:top w:w="0" w:type="dxa"/>
              <w:bottom w:w="0" w:type="dxa"/>
            </w:tcMar>
            <w:vAlign w:val="center"/>
          </w:tcPr>
          <w:p w14:paraId="5DA2BC1C" w14:textId="77777777" w:rsidR="001539A9" w:rsidRDefault="00000000">
            <w:pPr>
              <w:keepNext/>
              <w:keepLines/>
              <w:spacing w:after="0" w:line="240" w:lineRule="auto"/>
              <w:jc w:val="right"/>
            </w:pPr>
            <w:r>
              <w:rPr>
                <w:sz w:val="18"/>
              </w:rPr>
              <w:t>672.642,51</w:t>
            </w:r>
          </w:p>
        </w:tc>
        <w:tc>
          <w:tcPr>
            <w:tcW w:w="1860" w:type="dxa"/>
            <w:tcMar>
              <w:top w:w="0" w:type="dxa"/>
              <w:bottom w:w="0" w:type="dxa"/>
            </w:tcMar>
            <w:vAlign w:val="center"/>
          </w:tcPr>
          <w:p w14:paraId="471762E0" w14:textId="77777777" w:rsidR="001539A9" w:rsidRDefault="00000000">
            <w:pPr>
              <w:keepNext/>
              <w:keepLines/>
              <w:spacing w:after="0" w:line="240" w:lineRule="auto"/>
              <w:jc w:val="right"/>
            </w:pPr>
            <w:r>
              <w:rPr>
                <w:sz w:val="18"/>
              </w:rPr>
              <w:t>709.449,97</w:t>
            </w:r>
          </w:p>
        </w:tc>
        <w:tc>
          <w:tcPr>
            <w:tcW w:w="700" w:type="dxa"/>
            <w:tcMar>
              <w:top w:w="0" w:type="dxa"/>
              <w:bottom w:w="0" w:type="dxa"/>
            </w:tcMar>
            <w:vAlign w:val="center"/>
          </w:tcPr>
          <w:p w14:paraId="67390A02" w14:textId="77777777" w:rsidR="001539A9" w:rsidRDefault="00000000">
            <w:pPr>
              <w:keepNext/>
              <w:keepLines/>
              <w:spacing w:after="0" w:line="240" w:lineRule="auto"/>
              <w:jc w:val="right"/>
            </w:pPr>
            <w:r>
              <w:rPr>
                <w:sz w:val="18"/>
              </w:rPr>
              <w:t>105,5</w:t>
            </w:r>
          </w:p>
        </w:tc>
      </w:tr>
    </w:tbl>
    <w:p w14:paraId="0316B910" w14:textId="77777777" w:rsidR="001539A9" w:rsidRDefault="001539A9">
      <w:pPr>
        <w:spacing w:after="0"/>
      </w:pPr>
    </w:p>
    <w:p w14:paraId="19C65AA7" w14:textId="77777777" w:rsidR="001539A9" w:rsidRDefault="00000000">
      <w:r>
        <w:t>Prihodi iz nadležnog proračuna za financiranje rashoda poslovanja u izvještajnom razdoblju iznosili su 709.449,97 eura, što predstavlja povećanje od 36.807,46 eura u odnosu na prethodno razdoblje. Povećanje prihoda povezano je s povećanjem rashoda poslovanja tijekom izvještajnog razdoblja.</w:t>
      </w:r>
    </w:p>
    <w:p w14:paraId="69908937" w14:textId="77777777" w:rsidR="001539A9" w:rsidRDefault="001539A9"/>
    <w:p w14:paraId="68ECFDF0" w14:textId="77777777" w:rsidR="001539A9"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FDA12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6BCCC"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15CB6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A1552"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0ED3D"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A2024"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4FDCE4" w14:textId="77777777" w:rsidR="001539A9" w:rsidRDefault="00000000">
            <w:pPr>
              <w:keepNext/>
              <w:keepLines/>
              <w:spacing w:after="0" w:line="240" w:lineRule="auto"/>
              <w:jc w:val="center"/>
            </w:pPr>
            <w:r>
              <w:rPr>
                <w:b/>
                <w:sz w:val="18"/>
              </w:rPr>
              <w:t>Indeks (%)</w:t>
            </w:r>
          </w:p>
        </w:tc>
      </w:tr>
      <w:tr w:rsidR="001539A9" w14:paraId="735AA1B3" w14:textId="77777777">
        <w:tblPrEx>
          <w:tblCellMar>
            <w:top w:w="0" w:type="dxa"/>
            <w:bottom w:w="0" w:type="dxa"/>
          </w:tblCellMar>
        </w:tblPrEx>
        <w:trPr>
          <w:cantSplit/>
          <w:trHeight w:val="560"/>
        </w:trPr>
        <w:tc>
          <w:tcPr>
            <w:tcW w:w="700" w:type="dxa"/>
            <w:tcMar>
              <w:top w:w="0" w:type="dxa"/>
              <w:bottom w:w="0" w:type="dxa"/>
            </w:tcMar>
            <w:vAlign w:val="center"/>
          </w:tcPr>
          <w:p w14:paraId="0C05E76B" w14:textId="77777777" w:rsidR="001539A9" w:rsidRDefault="00000000">
            <w:pPr>
              <w:keepNext/>
              <w:keepLines/>
              <w:spacing w:after="0" w:line="240" w:lineRule="auto"/>
            </w:pPr>
            <w:r>
              <w:rPr>
                <w:sz w:val="18"/>
              </w:rPr>
              <w:t>3</w:t>
            </w:r>
          </w:p>
        </w:tc>
        <w:tc>
          <w:tcPr>
            <w:tcW w:w="3180" w:type="dxa"/>
            <w:tcMar>
              <w:top w:w="0" w:type="dxa"/>
              <w:bottom w:w="0" w:type="dxa"/>
            </w:tcMar>
            <w:vAlign w:val="center"/>
          </w:tcPr>
          <w:p w14:paraId="598B9896" w14:textId="77777777" w:rsidR="001539A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B698C7B" w14:textId="77777777" w:rsidR="001539A9" w:rsidRDefault="00000000">
            <w:pPr>
              <w:keepNext/>
              <w:keepLines/>
              <w:spacing w:after="0" w:line="240" w:lineRule="auto"/>
            </w:pPr>
            <w:r>
              <w:rPr>
                <w:sz w:val="18"/>
              </w:rPr>
              <w:t>3</w:t>
            </w:r>
          </w:p>
        </w:tc>
        <w:tc>
          <w:tcPr>
            <w:tcW w:w="1860" w:type="dxa"/>
            <w:tcMar>
              <w:top w:w="0" w:type="dxa"/>
              <w:bottom w:w="0" w:type="dxa"/>
            </w:tcMar>
            <w:vAlign w:val="center"/>
          </w:tcPr>
          <w:p w14:paraId="7B3F2A4A" w14:textId="77777777" w:rsidR="001539A9" w:rsidRDefault="00000000">
            <w:pPr>
              <w:keepNext/>
              <w:keepLines/>
              <w:spacing w:after="0" w:line="240" w:lineRule="auto"/>
              <w:jc w:val="right"/>
            </w:pPr>
            <w:r>
              <w:rPr>
                <w:sz w:val="18"/>
              </w:rPr>
              <w:t>672.642,51</w:t>
            </w:r>
          </w:p>
        </w:tc>
        <w:tc>
          <w:tcPr>
            <w:tcW w:w="1860" w:type="dxa"/>
            <w:tcMar>
              <w:top w:w="0" w:type="dxa"/>
              <w:bottom w:w="0" w:type="dxa"/>
            </w:tcMar>
            <w:vAlign w:val="center"/>
          </w:tcPr>
          <w:p w14:paraId="41465065" w14:textId="77777777" w:rsidR="001539A9" w:rsidRDefault="00000000">
            <w:pPr>
              <w:keepNext/>
              <w:keepLines/>
              <w:spacing w:after="0" w:line="240" w:lineRule="auto"/>
              <w:jc w:val="right"/>
            </w:pPr>
            <w:r>
              <w:rPr>
                <w:sz w:val="18"/>
              </w:rPr>
              <w:t>765.721,04</w:t>
            </w:r>
          </w:p>
        </w:tc>
        <w:tc>
          <w:tcPr>
            <w:tcW w:w="700" w:type="dxa"/>
            <w:tcMar>
              <w:top w:w="0" w:type="dxa"/>
              <w:bottom w:w="0" w:type="dxa"/>
            </w:tcMar>
            <w:vAlign w:val="center"/>
          </w:tcPr>
          <w:p w14:paraId="418701BE" w14:textId="77777777" w:rsidR="001539A9" w:rsidRDefault="00000000">
            <w:pPr>
              <w:keepNext/>
              <w:keepLines/>
              <w:spacing w:after="0" w:line="240" w:lineRule="auto"/>
              <w:jc w:val="right"/>
            </w:pPr>
            <w:r>
              <w:rPr>
                <w:sz w:val="18"/>
              </w:rPr>
              <w:t>113,8</w:t>
            </w:r>
          </w:p>
        </w:tc>
      </w:tr>
    </w:tbl>
    <w:p w14:paraId="76FA3B66" w14:textId="77777777" w:rsidR="001539A9" w:rsidRDefault="001539A9">
      <w:pPr>
        <w:spacing w:after="0"/>
      </w:pPr>
    </w:p>
    <w:p w14:paraId="78C59D21" w14:textId="77777777" w:rsidR="001539A9" w:rsidRDefault="00000000">
      <w:r>
        <w:t>Rashodi poslovanja povećani su za 93.078,53 eura u odnosu na prethodno promatrano razdoblje, a razlog povećanja su povećani rashodi za zaposlene (šifra 31) i materijalni rashodi (šifra 32).</w:t>
      </w:r>
    </w:p>
    <w:p w14:paraId="5029FC8A" w14:textId="77777777" w:rsidR="001539A9" w:rsidRDefault="001539A9"/>
    <w:p w14:paraId="75CA1637" w14:textId="77777777" w:rsidR="001539A9"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903E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C3453F"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44791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68D8D"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D1090E"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5525B8"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4D033" w14:textId="77777777" w:rsidR="001539A9" w:rsidRDefault="00000000">
            <w:pPr>
              <w:keepNext/>
              <w:keepLines/>
              <w:spacing w:after="0" w:line="240" w:lineRule="auto"/>
              <w:jc w:val="center"/>
            </w:pPr>
            <w:r>
              <w:rPr>
                <w:b/>
                <w:sz w:val="18"/>
              </w:rPr>
              <w:t>Indeks (%)</w:t>
            </w:r>
          </w:p>
        </w:tc>
      </w:tr>
      <w:tr w:rsidR="001539A9" w14:paraId="19C817A8" w14:textId="77777777">
        <w:tblPrEx>
          <w:tblCellMar>
            <w:top w:w="0" w:type="dxa"/>
            <w:bottom w:w="0" w:type="dxa"/>
          </w:tblCellMar>
        </w:tblPrEx>
        <w:trPr>
          <w:cantSplit/>
          <w:trHeight w:val="560"/>
        </w:trPr>
        <w:tc>
          <w:tcPr>
            <w:tcW w:w="700" w:type="dxa"/>
            <w:tcMar>
              <w:top w:w="0" w:type="dxa"/>
              <w:bottom w:w="0" w:type="dxa"/>
            </w:tcMar>
            <w:vAlign w:val="center"/>
          </w:tcPr>
          <w:p w14:paraId="766F59F4" w14:textId="77777777" w:rsidR="001539A9" w:rsidRDefault="00000000">
            <w:pPr>
              <w:keepNext/>
              <w:keepLines/>
              <w:spacing w:after="0" w:line="240" w:lineRule="auto"/>
            </w:pPr>
            <w:r>
              <w:rPr>
                <w:sz w:val="18"/>
              </w:rPr>
              <w:t>3111</w:t>
            </w:r>
          </w:p>
        </w:tc>
        <w:tc>
          <w:tcPr>
            <w:tcW w:w="3180" w:type="dxa"/>
            <w:tcMar>
              <w:top w:w="0" w:type="dxa"/>
              <w:bottom w:w="0" w:type="dxa"/>
            </w:tcMar>
            <w:vAlign w:val="center"/>
          </w:tcPr>
          <w:p w14:paraId="28DAE386" w14:textId="77777777" w:rsidR="001539A9" w:rsidRDefault="00000000">
            <w:pPr>
              <w:keepNext/>
              <w:keepLines/>
              <w:spacing w:after="0" w:line="240" w:lineRule="auto"/>
            </w:pPr>
            <w:r>
              <w:rPr>
                <w:sz w:val="18"/>
              </w:rPr>
              <w:t>Plaće za redovan rad</w:t>
            </w:r>
          </w:p>
        </w:tc>
        <w:tc>
          <w:tcPr>
            <w:tcW w:w="700" w:type="dxa"/>
            <w:tcMar>
              <w:top w:w="0" w:type="dxa"/>
              <w:bottom w:w="0" w:type="dxa"/>
            </w:tcMar>
            <w:vAlign w:val="center"/>
          </w:tcPr>
          <w:p w14:paraId="70574526" w14:textId="77777777" w:rsidR="001539A9" w:rsidRDefault="00000000">
            <w:pPr>
              <w:keepNext/>
              <w:keepLines/>
              <w:spacing w:after="0" w:line="240" w:lineRule="auto"/>
            </w:pPr>
            <w:r>
              <w:rPr>
                <w:sz w:val="18"/>
              </w:rPr>
              <w:t>3111</w:t>
            </w:r>
          </w:p>
        </w:tc>
        <w:tc>
          <w:tcPr>
            <w:tcW w:w="1860" w:type="dxa"/>
            <w:tcMar>
              <w:top w:w="0" w:type="dxa"/>
              <w:bottom w:w="0" w:type="dxa"/>
            </w:tcMar>
            <w:vAlign w:val="center"/>
          </w:tcPr>
          <w:p w14:paraId="5F04A8DB" w14:textId="77777777" w:rsidR="001539A9" w:rsidRDefault="00000000">
            <w:pPr>
              <w:keepNext/>
              <w:keepLines/>
              <w:spacing w:after="0" w:line="240" w:lineRule="auto"/>
              <w:jc w:val="right"/>
            </w:pPr>
            <w:r>
              <w:rPr>
                <w:sz w:val="18"/>
              </w:rPr>
              <w:t>476.726,30</w:t>
            </w:r>
          </w:p>
        </w:tc>
        <w:tc>
          <w:tcPr>
            <w:tcW w:w="1860" w:type="dxa"/>
            <w:tcMar>
              <w:top w:w="0" w:type="dxa"/>
              <w:bottom w:w="0" w:type="dxa"/>
            </w:tcMar>
            <w:vAlign w:val="center"/>
          </w:tcPr>
          <w:p w14:paraId="50CEC2AF" w14:textId="77777777" w:rsidR="001539A9" w:rsidRDefault="00000000">
            <w:pPr>
              <w:keepNext/>
              <w:keepLines/>
              <w:spacing w:after="0" w:line="240" w:lineRule="auto"/>
              <w:jc w:val="right"/>
            </w:pPr>
            <w:r>
              <w:rPr>
                <w:sz w:val="18"/>
              </w:rPr>
              <w:t>540.589,66</w:t>
            </w:r>
          </w:p>
        </w:tc>
        <w:tc>
          <w:tcPr>
            <w:tcW w:w="700" w:type="dxa"/>
            <w:tcMar>
              <w:top w:w="0" w:type="dxa"/>
              <w:bottom w:w="0" w:type="dxa"/>
            </w:tcMar>
            <w:vAlign w:val="center"/>
          </w:tcPr>
          <w:p w14:paraId="270F8759" w14:textId="77777777" w:rsidR="001539A9" w:rsidRDefault="00000000">
            <w:pPr>
              <w:keepNext/>
              <w:keepLines/>
              <w:spacing w:after="0" w:line="240" w:lineRule="auto"/>
              <w:jc w:val="right"/>
            </w:pPr>
            <w:r>
              <w:rPr>
                <w:sz w:val="18"/>
              </w:rPr>
              <w:t>113,4</w:t>
            </w:r>
          </w:p>
        </w:tc>
      </w:tr>
    </w:tbl>
    <w:p w14:paraId="2C4055F5" w14:textId="77777777" w:rsidR="001539A9" w:rsidRDefault="001539A9">
      <w:pPr>
        <w:spacing w:after="0"/>
      </w:pPr>
    </w:p>
    <w:p w14:paraId="3B2E6E3F" w14:textId="77777777" w:rsidR="001539A9" w:rsidRDefault="00000000">
      <w:r>
        <w:t>Rashodi za plaće za redovan rad u izvještajnom razdoblju iznosili su 540.589,66 eura, što predstavlja povećanje od 13,4 % u odnosu na prethodno razdoblje. Povećanje rashoda rezultat je povećanja osnovice za obračun plaće za 6 % od srpnja 2025. godine te zapošljavanja jednog novog zaposlenika.</w:t>
      </w:r>
    </w:p>
    <w:p w14:paraId="7F484358" w14:textId="77777777" w:rsidR="001539A9" w:rsidRDefault="001539A9"/>
    <w:p w14:paraId="124C8CB8" w14:textId="77777777" w:rsidR="001539A9"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78A94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BF2B2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E7A633"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DFD85B"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BEF20"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91973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61C9E1" w14:textId="77777777" w:rsidR="001539A9" w:rsidRDefault="00000000">
            <w:pPr>
              <w:keepNext/>
              <w:keepLines/>
              <w:spacing w:after="0" w:line="240" w:lineRule="auto"/>
              <w:jc w:val="center"/>
            </w:pPr>
            <w:r>
              <w:rPr>
                <w:b/>
                <w:sz w:val="18"/>
              </w:rPr>
              <w:t>Indeks (%)</w:t>
            </w:r>
          </w:p>
        </w:tc>
      </w:tr>
      <w:tr w:rsidR="001539A9" w14:paraId="73AE9F82" w14:textId="77777777">
        <w:tblPrEx>
          <w:tblCellMar>
            <w:top w:w="0" w:type="dxa"/>
            <w:bottom w:w="0" w:type="dxa"/>
          </w:tblCellMar>
        </w:tblPrEx>
        <w:trPr>
          <w:cantSplit/>
          <w:trHeight w:val="560"/>
        </w:trPr>
        <w:tc>
          <w:tcPr>
            <w:tcW w:w="700" w:type="dxa"/>
            <w:tcMar>
              <w:top w:w="0" w:type="dxa"/>
              <w:bottom w:w="0" w:type="dxa"/>
            </w:tcMar>
            <w:vAlign w:val="center"/>
          </w:tcPr>
          <w:p w14:paraId="2A6F0C86" w14:textId="77777777" w:rsidR="001539A9" w:rsidRDefault="00000000">
            <w:pPr>
              <w:keepNext/>
              <w:keepLines/>
              <w:spacing w:after="0" w:line="240" w:lineRule="auto"/>
            </w:pPr>
            <w:r>
              <w:rPr>
                <w:sz w:val="18"/>
              </w:rPr>
              <w:t>312</w:t>
            </w:r>
          </w:p>
        </w:tc>
        <w:tc>
          <w:tcPr>
            <w:tcW w:w="3180" w:type="dxa"/>
            <w:tcMar>
              <w:top w:w="0" w:type="dxa"/>
              <w:bottom w:w="0" w:type="dxa"/>
            </w:tcMar>
            <w:vAlign w:val="center"/>
          </w:tcPr>
          <w:p w14:paraId="0140425B" w14:textId="77777777" w:rsidR="001539A9"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193E5016" w14:textId="77777777" w:rsidR="001539A9" w:rsidRDefault="00000000">
            <w:pPr>
              <w:keepNext/>
              <w:keepLines/>
              <w:spacing w:after="0" w:line="240" w:lineRule="auto"/>
            </w:pPr>
            <w:r>
              <w:rPr>
                <w:sz w:val="18"/>
              </w:rPr>
              <w:t>312</w:t>
            </w:r>
          </w:p>
        </w:tc>
        <w:tc>
          <w:tcPr>
            <w:tcW w:w="1860" w:type="dxa"/>
            <w:tcMar>
              <w:top w:w="0" w:type="dxa"/>
              <w:bottom w:w="0" w:type="dxa"/>
            </w:tcMar>
            <w:vAlign w:val="center"/>
          </w:tcPr>
          <w:p w14:paraId="06932A39" w14:textId="77777777" w:rsidR="001539A9" w:rsidRDefault="00000000">
            <w:pPr>
              <w:keepNext/>
              <w:keepLines/>
              <w:spacing w:after="0" w:line="240" w:lineRule="auto"/>
              <w:jc w:val="right"/>
            </w:pPr>
            <w:r>
              <w:rPr>
                <w:sz w:val="18"/>
              </w:rPr>
              <w:t>54.711,72</w:t>
            </w:r>
          </w:p>
        </w:tc>
        <w:tc>
          <w:tcPr>
            <w:tcW w:w="1860" w:type="dxa"/>
            <w:tcMar>
              <w:top w:w="0" w:type="dxa"/>
              <w:bottom w:w="0" w:type="dxa"/>
            </w:tcMar>
            <w:vAlign w:val="center"/>
          </w:tcPr>
          <w:p w14:paraId="56C77D99" w14:textId="77777777" w:rsidR="001539A9" w:rsidRDefault="00000000">
            <w:pPr>
              <w:keepNext/>
              <w:keepLines/>
              <w:spacing w:after="0" w:line="240" w:lineRule="auto"/>
              <w:jc w:val="right"/>
            </w:pPr>
            <w:r>
              <w:rPr>
                <w:sz w:val="18"/>
              </w:rPr>
              <w:t>67.943,96</w:t>
            </w:r>
          </w:p>
        </w:tc>
        <w:tc>
          <w:tcPr>
            <w:tcW w:w="700" w:type="dxa"/>
            <w:tcMar>
              <w:top w:w="0" w:type="dxa"/>
              <w:bottom w:w="0" w:type="dxa"/>
            </w:tcMar>
            <w:vAlign w:val="center"/>
          </w:tcPr>
          <w:p w14:paraId="3E2A3135" w14:textId="77777777" w:rsidR="001539A9" w:rsidRDefault="00000000">
            <w:pPr>
              <w:keepNext/>
              <w:keepLines/>
              <w:spacing w:after="0" w:line="240" w:lineRule="auto"/>
              <w:jc w:val="right"/>
            </w:pPr>
            <w:r>
              <w:rPr>
                <w:sz w:val="18"/>
              </w:rPr>
              <w:t>124,2</w:t>
            </w:r>
          </w:p>
        </w:tc>
      </w:tr>
    </w:tbl>
    <w:p w14:paraId="0D2A3597" w14:textId="77777777" w:rsidR="001539A9" w:rsidRDefault="001539A9">
      <w:pPr>
        <w:spacing w:after="0"/>
      </w:pPr>
    </w:p>
    <w:p w14:paraId="2756A2F8" w14:textId="77777777" w:rsidR="001539A9" w:rsidRDefault="00000000">
      <w:r>
        <w:t>Ostali rashodi za zaposlene u izvještajnom razdoblju iznosili su 67.943,96 eura, što predstavlja povećanje od 24,2 % u odnosu na prethodno razdoblje. Povećanje rashoda najvećim je dijelom posljedica isplate većeg broja jubilarnih nagrada tijekom izvještajnog razdoblja.</w:t>
      </w:r>
    </w:p>
    <w:p w14:paraId="41B6D803" w14:textId="77777777" w:rsidR="001539A9" w:rsidRDefault="001539A9"/>
    <w:p w14:paraId="1E89D5B7" w14:textId="77777777" w:rsidR="001539A9"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0007F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D8932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928941"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A831AA"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649A9"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C49875"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19A5F5" w14:textId="77777777" w:rsidR="001539A9" w:rsidRDefault="00000000">
            <w:pPr>
              <w:keepNext/>
              <w:keepLines/>
              <w:spacing w:after="0" w:line="240" w:lineRule="auto"/>
              <w:jc w:val="center"/>
            </w:pPr>
            <w:r>
              <w:rPr>
                <w:b/>
                <w:sz w:val="18"/>
              </w:rPr>
              <w:t>Indeks (%)</w:t>
            </w:r>
          </w:p>
        </w:tc>
      </w:tr>
      <w:tr w:rsidR="001539A9" w14:paraId="26F669A6" w14:textId="77777777">
        <w:tblPrEx>
          <w:tblCellMar>
            <w:top w:w="0" w:type="dxa"/>
            <w:bottom w:w="0" w:type="dxa"/>
          </w:tblCellMar>
        </w:tblPrEx>
        <w:trPr>
          <w:cantSplit/>
          <w:trHeight w:val="560"/>
        </w:trPr>
        <w:tc>
          <w:tcPr>
            <w:tcW w:w="700" w:type="dxa"/>
            <w:tcMar>
              <w:top w:w="0" w:type="dxa"/>
              <w:bottom w:w="0" w:type="dxa"/>
            </w:tcMar>
            <w:vAlign w:val="center"/>
          </w:tcPr>
          <w:p w14:paraId="7E3190C2" w14:textId="77777777" w:rsidR="001539A9" w:rsidRDefault="00000000">
            <w:pPr>
              <w:keepNext/>
              <w:keepLines/>
              <w:spacing w:after="0" w:line="240" w:lineRule="auto"/>
            </w:pPr>
            <w:r>
              <w:rPr>
                <w:sz w:val="18"/>
              </w:rPr>
              <w:t>3132</w:t>
            </w:r>
          </w:p>
        </w:tc>
        <w:tc>
          <w:tcPr>
            <w:tcW w:w="3180" w:type="dxa"/>
            <w:tcMar>
              <w:top w:w="0" w:type="dxa"/>
              <w:bottom w:w="0" w:type="dxa"/>
            </w:tcMar>
            <w:vAlign w:val="center"/>
          </w:tcPr>
          <w:p w14:paraId="4E8B6287" w14:textId="77777777" w:rsidR="001539A9"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544FBF37" w14:textId="77777777" w:rsidR="001539A9" w:rsidRDefault="00000000">
            <w:pPr>
              <w:keepNext/>
              <w:keepLines/>
              <w:spacing w:after="0" w:line="240" w:lineRule="auto"/>
            </w:pPr>
            <w:r>
              <w:rPr>
                <w:sz w:val="18"/>
              </w:rPr>
              <w:t>3132</w:t>
            </w:r>
          </w:p>
        </w:tc>
        <w:tc>
          <w:tcPr>
            <w:tcW w:w="1860" w:type="dxa"/>
            <w:tcMar>
              <w:top w:w="0" w:type="dxa"/>
              <w:bottom w:w="0" w:type="dxa"/>
            </w:tcMar>
            <w:vAlign w:val="center"/>
          </w:tcPr>
          <w:p w14:paraId="12678995" w14:textId="77777777" w:rsidR="001539A9" w:rsidRDefault="00000000">
            <w:pPr>
              <w:keepNext/>
              <w:keepLines/>
              <w:spacing w:after="0" w:line="240" w:lineRule="auto"/>
              <w:jc w:val="right"/>
            </w:pPr>
            <w:r>
              <w:rPr>
                <w:sz w:val="18"/>
              </w:rPr>
              <w:t>66.108,67</w:t>
            </w:r>
          </w:p>
        </w:tc>
        <w:tc>
          <w:tcPr>
            <w:tcW w:w="1860" w:type="dxa"/>
            <w:tcMar>
              <w:top w:w="0" w:type="dxa"/>
              <w:bottom w:w="0" w:type="dxa"/>
            </w:tcMar>
            <w:vAlign w:val="center"/>
          </w:tcPr>
          <w:p w14:paraId="2915E27C" w14:textId="77777777" w:rsidR="001539A9" w:rsidRDefault="00000000">
            <w:pPr>
              <w:keepNext/>
              <w:keepLines/>
              <w:spacing w:after="0" w:line="240" w:lineRule="auto"/>
              <w:jc w:val="right"/>
            </w:pPr>
            <w:r>
              <w:rPr>
                <w:sz w:val="18"/>
              </w:rPr>
              <w:t>76.194,18</w:t>
            </w:r>
          </w:p>
        </w:tc>
        <w:tc>
          <w:tcPr>
            <w:tcW w:w="700" w:type="dxa"/>
            <w:tcMar>
              <w:top w:w="0" w:type="dxa"/>
              <w:bottom w:w="0" w:type="dxa"/>
            </w:tcMar>
            <w:vAlign w:val="center"/>
          </w:tcPr>
          <w:p w14:paraId="479E8238" w14:textId="77777777" w:rsidR="001539A9" w:rsidRDefault="00000000">
            <w:pPr>
              <w:keepNext/>
              <w:keepLines/>
              <w:spacing w:after="0" w:line="240" w:lineRule="auto"/>
              <w:jc w:val="right"/>
            </w:pPr>
            <w:r>
              <w:rPr>
                <w:sz w:val="18"/>
              </w:rPr>
              <w:t>115,3</w:t>
            </w:r>
          </w:p>
        </w:tc>
      </w:tr>
    </w:tbl>
    <w:p w14:paraId="563FCDD6" w14:textId="77777777" w:rsidR="001539A9" w:rsidRDefault="001539A9">
      <w:pPr>
        <w:spacing w:after="0"/>
      </w:pPr>
    </w:p>
    <w:p w14:paraId="68C85DFC" w14:textId="77777777" w:rsidR="001539A9" w:rsidRDefault="00000000">
      <w:r>
        <w:lastRenderedPageBreak/>
        <w:t>Rashodi za doprinose za obvezno zdravstveno osiguranje u izvještajnom razdoblju iznosili su 76.194,18 eura, što predstavlja povećanje od 15,3 % u odnosu na prethodno razdoblje. Povećanje rashoda rezultat je povećanja osnovice za obračun plaće te većeg broja zaposlenih u odnosu na prethodno razdoblje.</w:t>
      </w:r>
    </w:p>
    <w:p w14:paraId="69CA852E" w14:textId="77777777" w:rsidR="001539A9" w:rsidRDefault="001539A9"/>
    <w:p w14:paraId="1964207D" w14:textId="77777777" w:rsidR="001539A9"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F489F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3F08AB"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3C56D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D7F2E"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64DD34"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6F766"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CDBFED" w14:textId="77777777" w:rsidR="001539A9" w:rsidRDefault="00000000">
            <w:pPr>
              <w:keepNext/>
              <w:keepLines/>
              <w:spacing w:after="0" w:line="240" w:lineRule="auto"/>
              <w:jc w:val="center"/>
            </w:pPr>
            <w:r>
              <w:rPr>
                <w:b/>
                <w:sz w:val="18"/>
              </w:rPr>
              <w:t>Indeks (%)</w:t>
            </w:r>
          </w:p>
        </w:tc>
      </w:tr>
      <w:tr w:rsidR="001539A9" w14:paraId="2498BD39" w14:textId="77777777">
        <w:tblPrEx>
          <w:tblCellMar>
            <w:top w:w="0" w:type="dxa"/>
            <w:bottom w:w="0" w:type="dxa"/>
          </w:tblCellMar>
        </w:tblPrEx>
        <w:trPr>
          <w:cantSplit/>
          <w:trHeight w:val="560"/>
        </w:trPr>
        <w:tc>
          <w:tcPr>
            <w:tcW w:w="700" w:type="dxa"/>
            <w:tcMar>
              <w:top w:w="0" w:type="dxa"/>
              <w:bottom w:w="0" w:type="dxa"/>
            </w:tcMar>
            <w:vAlign w:val="center"/>
          </w:tcPr>
          <w:p w14:paraId="501F6269" w14:textId="77777777" w:rsidR="001539A9" w:rsidRDefault="00000000">
            <w:pPr>
              <w:keepNext/>
              <w:keepLines/>
              <w:spacing w:after="0" w:line="240" w:lineRule="auto"/>
            </w:pPr>
            <w:r>
              <w:rPr>
                <w:sz w:val="18"/>
              </w:rPr>
              <w:t>3211</w:t>
            </w:r>
          </w:p>
        </w:tc>
        <w:tc>
          <w:tcPr>
            <w:tcW w:w="3180" w:type="dxa"/>
            <w:tcMar>
              <w:top w:w="0" w:type="dxa"/>
              <w:bottom w:w="0" w:type="dxa"/>
            </w:tcMar>
            <w:vAlign w:val="center"/>
          </w:tcPr>
          <w:p w14:paraId="5F0F280A" w14:textId="77777777" w:rsidR="001539A9" w:rsidRDefault="00000000">
            <w:pPr>
              <w:keepNext/>
              <w:keepLines/>
              <w:spacing w:after="0" w:line="240" w:lineRule="auto"/>
            </w:pPr>
            <w:r>
              <w:rPr>
                <w:sz w:val="18"/>
              </w:rPr>
              <w:t>Službena putovanja</w:t>
            </w:r>
          </w:p>
        </w:tc>
        <w:tc>
          <w:tcPr>
            <w:tcW w:w="700" w:type="dxa"/>
            <w:tcMar>
              <w:top w:w="0" w:type="dxa"/>
              <w:bottom w:w="0" w:type="dxa"/>
            </w:tcMar>
            <w:vAlign w:val="center"/>
          </w:tcPr>
          <w:p w14:paraId="637FF5ED" w14:textId="77777777" w:rsidR="001539A9" w:rsidRDefault="00000000">
            <w:pPr>
              <w:keepNext/>
              <w:keepLines/>
              <w:spacing w:after="0" w:line="240" w:lineRule="auto"/>
            </w:pPr>
            <w:r>
              <w:rPr>
                <w:sz w:val="18"/>
              </w:rPr>
              <w:t>3211</w:t>
            </w:r>
          </w:p>
        </w:tc>
        <w:tc>
          <w:tcPr>
            <w:tcW w:w="1860" w:type="dxa"/>
            <w:tcMar>
              <w:top w:w="0" w:type="dxa"/>
              <w:bottom w:w="0" w:type="dxa"/>
            </w:tcMar>
            <w:vAlign w:val="center"/>
          </w:tcPr>
          <w:p w14:paraId="3F0A6D53" w14:textId="77777777" w:rsidR="001539A9" w:rsidRDefault="00000000">
            <w:pPr>
              <w:keepNext/>
              <w:keepLines/>
              <w:spacing w:after="0" w:line="240" w:lineRule="auto"/>
              <w:jc w:val="right"/>
            </w:pPr>
            <w:r>
              <w:rPr>
                <w:sz w:val="18"/>
              </w:rPr>
              <w:t>412,70</w:t>
            </w:r>
          </w:p>
        </w:tc>
        <w:tc>
          <w:tcPr>
            <w:tcW w:w="1860" w:type="dxa"/>
            <w:tcMar>
              <w:top w:w="0" w:type="dxa"/>
              <w:bottom w:w="0" w:type="dxa"/>
            </w:tcMar>
            <w:vAlign w:val="center"/>
          </w:tcPr>
          <w:p w14:paraId="0E10D608" w14:textId="77777777" w:rsidR="001539A9" w:rsidRDefault="00000000">
            <w:pPr>
              <w:keepNext/>
              <w:keepLines/>
              <w:spacing w:after="0" w:line="240" w:lineRule="auto"/>
              <w:jc w:val="right"/>
            </w:pPr>
            <w:r>
              <w:rPr>
                <w:sz w:val="18"/>
              </w:rPr>
              <w:t>2.459,51</w:t>
            </w:r>
          </w:p>
        </w:tc>
        <w:tc>
          <w:tcPr>
            <w:tcW w:w="700" w:type="dxa"/>
            <w:tcMar>
              <w:top w:w="0" w:type="dxa"/>
              <w:bottom w:w="0" w:type="dxa"/>
            </w:tcMar>
            <w:vAlign w:val="center"/>
          </w:tcPr>
          <w:p w14:paraId="36EFB252" w14:textId="77777777" w:rsidR="001539A9" w:rsidRDefault="00000000">
            <w:pPr>
              <w:keepNext/>
              <w:keepLines/>
              <w:spacing w:after="0" w:line="240" w:lineRule="auto"/>
              <w:jc w:val="right"/>
            </w:pPr>
            <w:r>
              <w:rPr>
                <w:sz w:val="18"/>
              </w:rPr>
              <w:t>596,0</w:t>
            </w:r>
          </w:p>
        </w:tc>
      </w:tr>
    </w:tbl>
    <w:p w14:paraId="129FE77C" w14:textId="77777777" w:rsidR="001539A9" w:rsidRDefault="001539A9">
      <w:pPr>
        <w:spacing w:after="0"/>
      </w:pPr>
    </w:p>
    <w:p w14:paraId="1B80473B" w14:textId="77777777" w:rsidR="001539A9" w:rsidRDefault="00000000">
      <w:r>
        <w:t>Rashod za službena putovanja veći je za 2.046,81 eura u odnosu na prethodno razdoblje. Povećanje rashoda odnosi se na veći broj službenih putovanja, uključujući domaća i inozemna službena putovanja zaposlenika radi sudjelovanja na stručnim konferencijama te aktivnosti vezane uz prekogranične projekte.</w:t>
      </w:r>
    </w:p>
    <w:p w14:paraId="23396B57" w14:textId="77777777" w:rsidR="001539A9" w:rsidRDefault="001539A9"/>
    <w:p w14:paraId="6CD7B854" w14:textId="77777777" w:rsidR="001539A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AC66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C7528C"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B68B38"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7AC52"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AC2D7"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C1B862"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CB27E6" w14:textId="77777777" w:rsidR="001539A9" w:rsidRDefault="00000000">
            <w:pPr>
              <w:keepNext/>
              <w:keepLines/>
              <w:spacing w:after="0" w:line="240" w:lineRule="auto"/>
              <w:jc w:val="center"/>
            </w:pPr>
            <w:r>
              <w:rPr>
                <w:b/>
                <w:sz w:val="18"/>
              </w:rPr>
              <w:t>Indeks (%)</w:t>
            </w:r>
          </w:p>
        </w:tc>
      </w:tr>
      <w:tr w:rsidR="001539A9" w14:paraId="56C1FFC2" w14:textId="77777777">
        <w:tblPrEx>
          <w:tblCellMar>
            <w:top w:w="0" w:type="dxa"/>
            <w:bottom w:w="0" w:type="dxa"/>
          </w:tblCellMar>
        </w:tblPrEx>
        <w:trPr>
          <w:cantSplit/>
          <w:trHeight w:val="560"/>
        </w:trPr>
        <w:tc>
          <w:tcPr>
            <w:tcW w:w="700" w:type="dxa"/>
            <w:tcMar>
              <w:top w:w="0" w:type="dxa"/>
              <w:bottom w:w="0" w:type="dxa"/>
            </w:tcMar>
            <w:vAlign w:val="center"/>
          </w:tcPr>
          <w:p w14:paraId="7785CF90" w14:textId="77777777" w:rsidR="001539A9" w:rsidRDefault="00000000">
            <w:pPr>
              <w:keepNext/>
              <w:keepLines/>
              <w:spacing w:after="0" w:line="240" w:lineRule="auto"/>
            </w:pPr>
            <w:r>
              <w:rPr>
                <w:sz w:val="18"/>
              </w:rPr>
              <w:t>3213</w:t>
            </w:r>
          </w:p>
        </w:tc>
        <w:tc>
          <w:tcPr>
            <w:tcW w:w="3180" w:type="dxa"/>
            <w:tcMar>
              <w:top w:w="0" w:type="dxa"/>
              <w:bottom w:w="0" w:type="dxa"/>
            </w:tcMar>
            <w:vAlign w:val="center"/>
          </w:tcPr>
          <w:p w14:paraId="6378CF15" w14:textId="77777777" w:rsidR="001539A9"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CAD3791" w14:textId="77777777" w:rsidR="001539A9" w:rsidRDefault="00000000">
            <w:pPr>
              <w:keepNext/>
              <w:keepLines/>
              <w:spacing w:after="0" w:line="240" w:lineRule="auto"/>
            </w:pPr>
            <w:r>
              <w:rPr>
                <w:sz w:val="18"/>
              </w:rPr>
              <w:t>3213</w:t>
            </w:r>
          </w:p>
        </w:tc>
        <w:tc>
          <w:tcPr>
            <w:tcW w:w="1860" w:type="dxa"/>
            <w:tcMar>
              <w:top w:w="0" w:type="dxa"/>
              <w:bottom w:w="0" w:type="dxa"/>
            </w:tcMar>
            <w:vAlign w:val="center"/>
          </w:tcPr>
          <w:p w14:paraId="0C396E7A" w14:textId="77777777" w:rsidR="001539A9" w:rsidRDefault="00000000">
            <w:pPr>
              <w:keepNext/>
              <w:keepLines/>
              <w:spacing w:after="0" w:line="240" w:lineRule="auto"/>
              <w:jc w:val="right"/>
            </w:pPr>
            <w:r>
              <w:rPr>
                <w:sz w:val="18"/>
              </w:rPr>
              <w:t>668,75</w:t>
            </w:r>
          </w:p>
        </w:tc>
        <w:tc>
          <w:tcPr>
            <w:tcW w:w="1860" w:type="dxa"/>
            <w:tcMar>
              <w:top w:w="0" w:type="dxa"/>
              <w:bottom w:w="0" w:type="dxa"/>
            </w:tcMar>
            <w:vAlign w:val="center"/>
          </w:tcPr>
          <w:p w14:paraId="124FE5A9" w14:textId="77777777" w:rsidR="001539A9" w:rsidRDefault="00000000">
            <w:pPr>
              <w:keepNext/>
              <w:keepLines/>
              <w:spacing w:after="0" w:line="240" w:lineRule="auto"/>
              <w:jc w:val="right"/>
            </w:pPr>
            <w:r>
              <w:rPr>
                <w:sz w:val="18"/>
              </w:rPr>
              <w:t>2.580,00</w:t>
            </w:r>
          </w:p>
        </w:tc>
        <w:tc>
          <w:tcPr>
            <w:tcW w:w="700" w:type="dxa"/>
            <w:tcMar>
              <w:top w:w="0" w:type="dxa"/>
              <w:bottom w:w="0" w:type="dxa"/>
            </w:tcMar>
            <w:vAlign w:val="center"/>
          </w:tcPr>
          <w:p w14:paraId="1E2A45BC" w14:textId="77777777" w:rsidR="001539A9" w:rsidRDefault="00000000">
            <w:pPr>
              <w:keepNext/>
              <w:keepLines/>
              <w:spacing w:after="0" w:line="240" w:lineRule="auto"/>
              <w:jc w:val="right"/>
            </w:pPr>
            <w:r>
              <w:rPr>
                <w:sz w:val="18"/>
              </w:rPr>
              <w:t>385,8</w:t>
            </w:r>
          </w:p>
        </w:tc>
      </w:tr>
    </w:tbl>
    <w:p w14:paraId="6B7D93BC" w14:textId="77777777" w:rsidR="001539A9" w:rsidRDefault="001539A9">
      <w:pPr>
        <w:spacing w:after="0"/>
      </w:pPr>
    </w:p>
    <w:p w14:paraId="4B998078" w14:textId="77777777" w:rsidR="001539A9" w:rsidRDefault="00000000">
      <w:r>
        <w:t>Rashod za stručno usavršavanje zaposlenika povećan je sa 668,75 eura na 2.580,00 eura. Povećanje rashoda odnosi se na troškove kotizacija za sudjelovanje zaposlenika na stručnim konferencijama te obvezne edukacije u području javne nabave radi produljenja certifikata.</w:t>
      </w:r>
    </w:p>
    <w:p w14:paraId="5AE24818" w14:textId="77777777" w:rsidR="001539A9" w:rsidRDefault="001539A9"/>
    <w:p w14:paraId="35F4AC04" w14:textId="77777777" w:rsidR="001539A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2775F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77F37E"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C4DAAD"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5F7A4"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FA0B6C"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4F498"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783432" w14:textId="77777777" w:rsidR="001539A9" w:rsidRDefault="00000000">
            <w:pPr>
              <w:keepNext/>
              <w:keepLines/>
              <w:spacing w:after="0" w:line="240" w:lineRule="auto"/>
              <w:jc w:val="center"/>
            </w:pPr>
            <w:r>
              <w:rPr>
                <w:b/>
                <w:sz w:val="18"/>
              </w:rPr>
              <w:t>Indeks (%)</w:t>
            </w:r>
          </w:p>
        </w:tc>
      </w:tr>
      <w:tr w:rsidR="001539A9" w14:paraId="0C98A281" w14:textId="77777777">
        <w:tblPrEx>
          <w:tblCellMar>
            <w:top w:w="0" w:type="dxa"/>
            <w:bottom w:w="0" w:type="dxa"/>
          </w:tblCellMar>
        </w:tblPrEx>
        <w:trPr>
          <w:cantSplit/>
          <w:trHeight w:val="560"/>
        </w:trPr>
        <w:tc>
          <w:tcPr>
            <w:tcW w:w="700" w:type="dxa"/>
            <w:tcMar>
              <w:top w:w="0" w:type="dxa"/>
              <w:bottom w:w="0" w:type="dxa"/>
            </w:tcMar>
            <w:vAlign w:val="center"/>
          </w:tcPr>
          <w:p w14:paraId="788CC753" w14:textId="77777777" w:rsidR="001539A9" w:rsidRDefault="00000000">
            <w:pPr>
              <w:keepNext/>
              <w:keepLines/>
              <w:spacing w:after="0" w:line="240" w:lineRule="auto"/>
            </w:pPr>
            <w:r>
              <w:rPr>
                <w:sz w:val="18"/>
              </w:rPr>
              <w:t>3221</w:t>
            </w:r>
          </w:p>
        </w:tc>
        <w:tc>
          <w:tcPr>
            <w:tcW w:w="3180" w:type="dxa"/>
            <w:tcMar>
              <w:top w:w="0" w:type="dxa"/>
              <w:bottom w:w="0" w:type="dxa"/>
            </w:tcMar>
            <w:vAlign w:val="center"/>
          </w:tcPr>
          <w:p w14:paraId="4BC7AF24" w14:textId="77777777" w:rsidR="001539A9"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4696D8CF" w14:textId="77777777" w:rsidR="001539A9" w:rsidRDefault="00000000">
            <w:pPr>
              <w:keepNext/>
              <w:keepLines/>
              <w:spacing w:after="0" w:line="240" w:lineRule="auto"/>
            </w:pPr>
            <w:r>
              <w:rPr>
                <w:sz w:val="18"/>
              </w:rPr>
              <w:t>3221</w:t>
            </w:r>
          </w:p>
        </w:tc>
        <w:tc>
          <w:tcPr>
            <w:tcW w:w="1860" w:type="dxa"/>
            <w:tcMar>
              <w:top w:w="0" w:type="dxa"/>
              <w:bottom w:w="0" w:type="dxa"/>
            </w:tcMar>
            <w:vAlign w:val="center"/>
          </w:tcPr>
          <w:p w14:paraId="24086A26" w14:textId="77777777" w:rsidR="001539A9" w:rsidRDefault="00000000">
            <w:pPr>
              <w:keepNext/>
              <w:keepLines/>
              <w:spacing w:after="0" w:line="240" w:lineRule="auto"/>
              <w:jc w:val="right"/>
            </w:pPr>
            <w:r>
              <w:rPr>
                <w:sz w:val="18"/>
              </w:rPr>
              <w:t>2.844,11</w:t>
            </w:r>
          </w:p>
        </w:tc>
        <w:tc>
          <w:tcPr>
            <w:tcW w:w="1860" w:type="dxa"/>
            <w:tcMar>
              <w:top w:w="0" w:type="dxa"/>
              <w:bottom w:w="0" w:type="dxa"/>
            </w:tcMar>
            <w:vAlign w:val="center"/>
          </w:tcPr>
          <w:p w14:paraId="71DCEB53" w14:textId="77777777" w:rsidR="001539A9" w:rsidRDefault="00000000">
            <w:pPr>
              <w:keepNext/>
              <w:keepLines/>
              <w:spacing w:after="0" w:line="240" w:lineRule="auto"/>
              <w:jc w:val="right"/>
            </w:pPr>
            <w:r>
              <w:rPr>
                <w:sz w:val="18"/>
              </w:rPr>
              <w:t>3.466,11</w:t>
            </w:r>
          </w:p>
        </w:tc>
        <w:tc>
          <w:tcPr>
            <w:tcW w:w="700" w:type="dxa"/>
            <w:tcMar>
              <w:top w:w="0" w:type="dxa"/>
              <w:bottom w:w="0" w:type="dxa"/>
            </w:tcMar>
            <w:vAlign w:val="center"/>
          </w:tcPr>
          <w:p w14:paraId="433CBFD8" w14:textId="77777777" w:rsidR="001539A9" w:rsidRDefault="00000000">
            <w:pPr>
              <w:keepNext/>
              <w:keepLines/>
              <w:spacing w:after="0" w:line="240" w:lineRule="auto"/>
              <w:jc w:val="right"/>
            </w:pPr>
            <w:r>
              <w:rPr>
                <w:sz w:val="18"/>
              </w:rPr>
              <w:t>121,9</w:t>
            </w:r>
          </w:p>
        </w:tc>
      </w:tr>
    </w:tbl>
    <w:p w14:paraId="569EEAF4" w14:textId="77777777" w:rsidR="001539A9" w:rsidRDefault="001539A9">
      <w:pPr>
        <w:spacing w:after="0"/>
      </w:pPr>
    </w:p>
    <w:p w14:paraId="29A88668" w14:textId="77777777" w:rsidR="001539A9" w:rsidRDefault="00000000">
      <w:r>
        <w:t>Rashodi za Uredski materijal i ostali materijalni rashodi povećani su za 21,1 % u odnosu na promatrano razdoblje prethodne godine zbog nabavljenih uredskih mapa za pohranjivanje papirnatih dokumenata za potrebe svih zaposlenika.</w:t>
      </w:r>
    </w:p>
    <w:p w14:paraId="41390F9C" w14:textId="77777777" w:rsidR="001539A9" w:rsidRDefault="001539A9"/>
    <w:p w14:paraId="4518A69E" w14:textId="77777777" w:rsidR="001539A9"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53A61B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BCD828"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BD71C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C32480"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C45B3"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ABFF7"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D33BB3" w14:textId="77777777" w:rsidR="001539A9" w:rsidRDefault="00000000">
            <w:pPr>
              <w:keepNext/>
              <w:keepLines/>
              <w:spacing w:after="0" w:line="240" w:lineRule="auto"/>
              <w:jc w:val="center"/>
            </w:pPr>
            <w:r>
              <w:rPr>
                <w:b/>
                <w:sz w:val="18"/>
              </w:rPr>
              <w:t>Indeks (%)</w:t>
            </w:r>
          </w:p>
        </w:tc>
      </w:tr>
      <w:tr w:rsidR="001539A9" w14:paraId="7C6C41AE" w14:textId="77777777">
        <w:tblPrEx>
          <w:tblCellMar>
            <w:top w:w="0" w:type="dxa"/>
            <w:bottom w:w="0" w:type="dxa"/>
          </w:tblCellMar>
        </w:tblPrEx>
        <w:trPr>
          <w:cantSplit/>
          <w:trHeight w:val="560"/>
        </w:trPr>
        <w:tc>
          <w:tcPr>
            <w:tcW w:w="700" w:type="dxa"/>
            <w:tcMar>
              <w:top w:w="0" w:type="dxa"/>
              <w:bottom w:w="0" w:type="dxa"/>
            </w:tcMar>
            <w:vAlign w:val="center"/>
          </w:tcPr>
          <w:p w14:paraId="266B269E" w14:textId="77777777" w:rsidR="001539A9" w:rsidRDefault="00000000">
            <w:pPr>
              <w:keepNext/>
              <w:keepLines/>
              <w:spacing w:after="0" w:line="240" w:lineRule="auto"/>
            </w:pPr>
            <w:r>
              <w:rPr>
                <w:sz w:val="18"/>
              </w:rPr>
              <w:t>3223</w:t>
            </w:r>
          </w:p>
        </w:tc>
        <w:tc>
          <w:tcPr>
            <w:tcW w:w="3180" w:type="dxa"/>
            <w:tcMar>
              <w:top w:w="0" w:type="dxa"/>
              <w:bottom w:w="0" w:type="dxa"/>
            </w:tcMar>
            <w:vAlign w:val="center"/>
          </w:tcPr>
          <w:p w14:paraId="77B53145" w14:textId="77777777" w:rsidR="001539A9" w:rsidRDefault="00000000">
            <w:pPr>
              <w:keepNext/>
              <w:keepLines/>
              <w:spacing w:after="0" w:line="240" w:lineRule="auto"/>
            </w:pPr>
            <w:r>
              <w:rPr>
                <w:sz w:val="18"/>
              </w:rPr>
              <w:t>Energija</w:t>
            </w:r>
          </w:p>
        </w:tc>
        <w:tc>
          <w:tcPr>
            <w:tcW w:w="700" w:type="dxa"/>
            <w:tcMar>
              <w:top w:w="0" w:type="dxa"/>
              <w:bottom w:w="0" w:type="dxa"/>
            </w:tcMar>
            <w:vAlign w:val="center"/>
          </w:tcPr>
          <w:p w14:paraId="7D3014E8" w14:textId="77777777" w:rsidR="001539A9" w:rsidRDefault="00000000">
            <w:pPr>
              <w:keepNext/>
              <w:keepLines/>
              <w:spacing w:after="0" w:line="240" w:lineRule="auto"/>
            </w:pPr>
            <w:r>
              <w:rPr>
                <w:sz w:val="18"/>
              </w:rPr>
              <w:t>3223</w:t>
            </w:r>
          </w:p>
        </w:tc>
        <w:tc>
          <w:tcPr>
            <w:tcW w:w="1860" w:type="dxa"/>
            <w:tcMar>
              <w:top w:w="0" w:type="dxa"/>
              <w:bottom w:w="0" w:type="dxa"/>
            </w:tcMar>
            <w:vAlign w:val="center"/>
          </w:tcPr>
          <w:p w14:paraId="389EF767" w14:textId="77777777" w:rsidR="001539A9" w:rsidRDefault="00000000">
            <w:pPr>
              <w:keepNext/>
              <w:keepLines/>
              <w:spacing w:after="0" w:line="240" w:lineRule="auto"/>
              <w:jc w:val="right"/>
            </w:pPr>
            <w:r>
              <w:rPr>
                <w:sz w:val="18"/>
              </w:rPr>
              <w:t>3.893,84</w:t>
            </w:r>
          </w:p>
        </w:tc>
        <w:tc>
          <w:tcPr>
            <w:tcW w:w="1860" w:type="dxa"/>
            <w:tcMar>
              <w:top w:w="0" w:type="dxa"/>
              <w:bottom w:w="0" w:type="dxa"/>
            </w:tcMar>
            <w:vAlign w:val="center"/>
          </w:tcPr>
          <w:p w14:paraId="4585EC48" w14:textId="77777777" w:rsidR="001539A9" w:rsidRDefault="00000000">
            <w:pPr>
              <w:keepNext/>
              <w:keepLines/>
              <w:spacing w:after="0" w:line="240" w:lineRule="auto"/>
              <w:jc w:val="right"/>
            </w:pPr>
            <w:r>
              <w:rPr>
                <w:sz w:val="18"/>
              </w:rPr>
              <w:t>4.983,19</w:t>
            </w:r>
          </w:p>
        </w:tc>
        <w:tc>
          <w:tcPr>
            <w:tcW w:w="700" w:type="dxa"/>
            <w:tcMar>
              <w:top w:w="0" w:type="dxa"/>
              <w:bottom w:w="0" w:type="dxa"/>
            </w:tcMar>
            <w:vAlign w:val="center"/>
          </w:tcPr>
          <w:p w14:paraId="3DC65308" w14:textId="77777777" w:rsidR="001539A9" w:rsidRDefault="00000000">
            <w:pPr>
              <w:keepNext/>
              <w:keepLines/>
              <w:spacing w:after="0" w:line="240" w:lineRule="auto"/>
              <w:jc w:val="right"/>
            </w:pPr>
            <w:r>
              <w:rPr>
                <w:sz w:val="18"/>
              </w:rPr>
              <w:t>128,0</w:t>
            </w:r>
          </w:p>
        </w:tc>
      </w:tr>
    </w:tbl>
    <w:p w14:paraId="6020A001" w14:textId="77777777" w:rsidR="001539A9" w:rsidRDefault="001539A9">
      <w:pPr>
        <w:spacing w:after="0"/>
      </w:pPr>
    </w:p>
    <w:p w14:paraId="5EA72080" w14:textId="77777777" w:rsidR="001539A9" w:rsidRDefault="00000000">
      <w:r>
        <w:t>Rashodi za energiju u izvještajnom razdoblju iznosili su 4.983,19 eura, što predstavlja povećanje od 28,0 % u odnosu na prethodno razdoblje. Povećanje rashoda posljedica je preseljenja Agencije u veći poslovni prostor, što je dovelo do povećane potrošnje energenata, prvenstveno plina za grijanje.</w:t>
      </w:r>
    </w:p>
    <w:p w14:paraId="4C96BC0B" w14:textId="77777777" w:rsidR="001539A9" w:rsidRDefault="001539A9"/>
    <w:p w14:paraId="4DB8E144" w14:textId="77777777" w:rsidR="001539A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3BC989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A6BD6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BDE2A1"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C00C5"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A66DF1"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D4917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DC5C30" w14:textId="77777777" w:rsidR="001539A9" w:rsidRDefault="00000000">
            <w:pPr>
              <w:keepNext/>
              <w:keepLines/>
              <w:spacing w:after="0" w:line="240" w:lineRule="auto"/>
              <w:jc w:val="center"/>
            </w:pPr>
            <w:r>
              <w:rPr>
                <w:b/>
                <w:sz w:val="18"/>
              </w:rPr>
              <w:t>Indeks (%)</w:t>
            </w:r>
          </w:p>
        </w:tc>
      </w:tr>
      <w:tr w:rsidR="001539A9" w14:paraId="26F56429" w14:textId="77777777">
        <w:tblPrEx>
          <w:tblCellMar>
            <w:top w:w="0" w:type="dxa"/>
            <w:bottom w:w="0" w:type="dxa"/>
          </w:tblCellMar>
        </w:tblPrEx>
        <w:trPr>
          <w:cantSplit/>
          <w:trHeight w:val="560"/>
        </w:trPr>
        <w:tc>
          <w:tcPr>
            <w:tcW w:w="700" w:type="dxa"/>
            <w:tcMar>
              <w:top w:w="0" w:type="dxa"/>
              <w:bottom w:w="0" w:type="dxa"/>
            </w:tcMar>
            <w:vAlign w:val="center"/>
          </w:tcPr>
          <w:p w14:paraId="3DBA9064" w14:textId="77777777" w:rsidR="001539A9" w:rsidRDefault="00000000">
            <w:pPr>
              <w:keepNext/>
              <w:keepLines/>
              <w:spacing w:after="0" w:line="240" w:lineRule="auto"/>
            </w:pPr>
            <w:r>
              <w:rPr>
                <w:sz w:val="18"/>
              </w:rPr>
              <w:t>3224</w:t>
            </w:r>
          </w:p>
        </w:tc>
        <w:tc>
          <w:tcPr>
            <w:tcW w:w="3180" w:type="dxa"/>
            <w:tcMar>
              <w:top w:w="0" w:type="dxa"/>
              <w:bottom w:w="0" w:type="dxa"/>
            </w:tcMar>
            <w:vAlign w:val="center"/>
          </w:tcPr>
          <w:p w14:paraId="39423381" w14:textId="77777777" w:rsidR="001539A9"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BBEBA46" w14:textId="77777777" w:rsidR="001539A9" w:rsidRDefault="00000000">
            <w:pPr>
              <w:keepNext/>
              <w:keepLines/>
              <w:spacing w:after="0" w:line="240" w:lineRule="auto"/>
            </w:pPr>
            <w:r>
              <w:rPr>
                <w:sz w:val="18"/>
              </w:rPr>
              <w:t>3224</w:t>
            </w:r>
          </w:p>
        </w:tc>
        <w:tc>
          <w:tcPr>
            <w:tcW w:w="1860" w:type="dxa"/>
            <w:tcMar>
              <w:top w:w="0" w:type="dxa"/>
              <w:bottom w:w="0" w:type="dxa"/>
            </w:tcMar>
            <w:vAlign w:val="center"/>
          </w:tcPr>
          <w:p w14:paraId="1EFCE42D" w14:textId="77777777" w:rsidR="001539A9" w:rsidRDefault="00000000">
            <w:pPr>
              <w:keepNext/>
              <w:keepLines/>
              <w:spacing w:after="0" w:line="240" w:lineRule="auto"/>
              <w:jc w:val="right"/>
            </w:pPr>
            <w:r>
              <w:rPr>
                <w:sz w:val="18"/>
              </w:rPr>
              <w:t>331,25</w:t>
            </w:r>
          </w:p>
        </w:tc>
        <w:tc>
          <w:tcPr>
            <w:tcW w:w="1860" w:type="dxa"/>
            <w:tcMar>
              <w:top w:w="0" w:type="dxa"/>
              <w:bottom w:w="0" w:type="dxa"/>
            </w:tcMar>
            <w:vAlign w:val="center"/>
          </w:tcPr>
          <w:p w14:paraId="66CA5688" w14:textId="77777777" w:rsidR="001539A9" w:rsidRDefault="00000000">
            <w:pPr>
              <w:keepNext/>
              <w:keepLines/>
              <w:spacing w:after="0" w:line="240" w:lineRule="auto"/>
              <w:jc w:val="right"/>
            </w:pPr>
            <w:r>
              <w:rPr>
                <w:sz w:val="18"/>
              </w:rPr>
              <w:t>4.478,93</w:t>
            </w:r>
          </w:p>
        </w:tc>
        <w:tc>
          <w:tcPr>
            <w:tcW w:w="700" w:type="dxa"/>
            <w:tcMar>
              <w:top w:w="0" w:type="dxa"/>
              <w:bottom w:w="0" w:type="dxa"/>
            </w:tcMar>
            <w:vAlign w:val="center"/>
          </w:tcPr>
          <w:p w14:paraId="7B66847B" w14:textId="77777777" w:rsidR="001539A9" w:rsidRDefault="00000000">
            <w:pPr>
              <w:keepNext/>
              <w:keepLines/>
              <w:spacing w:after="0" w:line="240" w:lineRule="auto"/>
              <w:jc w:val="right"/>
            </w:pPr>
            <w:r>
              <w:rPr>
                <w:sz w:val="18"/>
              </w:rPr>
              <w:t>1352,1</w:t>
            </w:r>
          </w:p>
        </w:tc>
      </w:tr>
    </w:tbl>
    <w:p w14:paraId="2F104DF1" w14:textId="77777777" w:rsidR="001539A9" w:rsidRDefault="001539A9">
      <w:pPr>
        <w:spacing w:after="0"/>
      </w:pPr>
    </w:p>
    <w:p w14:paraId="1F8AD03F" w14:textId="77777777" w:rsidR="001539A9" w:rsidRDefault="00000000">
      <w:r>
        <w:t>Materijal i dijelovi za tekuće i investicijsko održavanje povećani su sa 331,25 eura na 4.478,93 eura. Povećanje rashoda odnosi se na radove prilagodbe novih poslovnih prostora Agencije, uključujući nabavu materijala za uređenje prostora.</w:t>
      </w:r>
    </w:p>
    <w:p w14:paraId="2B63D57B" w14:textId="77777777" w:rsidR="001539A9" w:rsidRDefault="001539A9"/>
    <w:p w14:paraId="3001AC4C" w14:textId="77777777" w:rsidR="001539A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5FAA4D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3BA691"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71E30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FD2B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3BFBF"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3FF999"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573C1F" w14:textId="77777777" w:rsidR="001539A9" w:rsidRDefault="00000000">
            <w:pPr>
              <w:keepNext/>
              <w:keepLines/>
              <w:spacing w:after="0" w:line="240" w:lineRule="auto"/>
              <w:jc w:val="center"/>
            </w:pPr>
            <w:r>
              <w:rPr>
                <w:b/>
                <w:sz w:val="18"/>
              </w:rPr>
              <w:t>Indeks (%)</w:t>
            </w:r>
          </w:p>
        </w:tc>
      </w:tr>
      <w:tr w:rsidR="001539A9" w14:paraId="0DFE2D07" w14:textId="77777777">
        <w:tblPrEx>
          <w:tblCellMar>
            <w:top w:w="0" w:type="dxa"/>
            <w:bottom w:w="0" w:type="dxa"/>
          </w:tblCellMar>
        </w:tblPrEx>
        <w:trPr>
          <w:cantSplit/>
          <w:trHeight w:val="560"/>
        </w:trPr>
        <w:tc>
          <w:tcPr>
            <w:tcW w:w="700" w:type="dxa"/>
            <w:tcMar>
              <w:top w:w="0" w:type="dxa"/>
              <w:bottom w:w="0" w:type="dxa"/>
            </w:tcMar>
            <w:vAlign w:val="center"/>
          </w:tcPr>
          <w:p w14:paraId="2369121C" w14:textId="77777777" w:rsidR="001539A9" w:rsidRDefault="00000000">
            <w:pPr>
              <w:keepNext/>
              <w:keepLines/>
              <w:spacing w:after="0" w:line="240" w:lineRule="auto"/>
            </w:pPr>
            <w:r>
              <w:rPr>
                <w:sz w:val="18"/>
              </w:rPr>
              <w:t>3225</w:t>
            </w:r>
          </w:p>
        </w:tc>
        <w:tc>
          <w:tcPr>
            <w:tcW w:w="3180" w:type="dxa"/>
            <w:tcMar>
              <w:top w:w="0" w:type="dxa"/>
              <w:bottom w:w="0" w:type="dxa"/>
            </w:tcMar>
            <w:vAlign w:val="center"/>
          </w:tcPr>
          <w:p w14:paraId="10E888E7" w14:textId="77777777" w:rsidR="001539A9" w:rsidRDefault="00000000">
            <w:pPr>
              <w:keepNext/>
              <w:keepLines/>
              <w:spacing w:after="0" w:line="240" w:lineRule="auto"/>
            </w:pPr>
            <w:r>
              <w:rPr>
                <w:sz w:val="18"/>
              </w:rPr>
              <w:t>Sitni inventar i autogume</w:t>
            </w:r>
          </w:p>
        </w:tc>
        <w:tc>
          <w:tcPr>
            <w:tcW w:w="700" w:type="dxa"/>
            <w:tcMar>
              <w:top w:w="0" w:type="dxa"/>
              <w:bottom w:w="0" w:type="dxa"/>
            </w:tcMar>
            <w:vAlign w:val="center"/>
          </w:tcPr>
          <w:p w14:paraId="43D8B965" w14:textId="77777777" w:rsidR="001539A9" w:rsidRDefault="00000000">
            <w:pPr>
              <w:keepNext/>
              <w:keepLines/>
              <w:spacing w:after="0" w:line="240" w:lineRule="auto"/>
            </w:pPr>
            <w:r>
              <w:rPr>
                <w:sz w:val="18"/>
              </w:rPr>
              <w:t>3225</w:t>
            </w:r>
          </w:p>
        </w:tc>
        <w:tc>
          <w:tcPr>
            <w:tcW w:w="1860" w:type="dxa"/>
            <w:tcMar>
              <w:top w:w="0" w:type="dxa"/>
              <w:bottom w:w="0" w:type="dxa"/>
            </w:tcMar>
            <w:vAlign w:val="center"/>
          </w:tcPr>
          <w:p w14:paraId="6C4D295C" w14:textId="77777777" w:rsidR="001539A9" w:rsidRDefault="00000000">
            <w:pPr>
              <w:keepNext/>
              <w:keepLines/>
              <w:spacing w:after="0" w:line="240" w:lineRule="auto"/>
              <w:jc w:val="right"/>
            </w:pPr>
            <w:r>
              <w:rPr>
                <w:sz w:val="18"/>
              </w:rPr>
              <w:t>542,94</w:t>
            </w:r>
          </w:p>
        </w:tc>
        <w:tc>
          <w:tcPr>
            <w:tcW w:w="1860" w:type="dxa"/>
            <w:tcMar>
              <w:top w:w="0" w:type="dxa"/>
              <w:bottom w:w="0" w:type="dxa"/>
            </w:tcMar>
            <w:vAlign w:val="center"/>
          </w:tcPr>
          <w:p w14:paraId="6738AE2C" w14:textId="77777777" w:rsidR="001539A9" w:rsidRDefault="00000000">
            <w:pPr>
              <w:keepNext/>
              <w:keepLines/>
              <w:spacing w:after="0" w:line="240" w:lineRule="auto"/>
              <w:jc w:val="right"/>
            </w:pPr>
            <w:r>
              <w:rPr>
                <w:sz w:val="18"/>
              </w:rPr>
              <w:t>3.017,69</w:t>
            </w:r>
          </w:p>
        </w:tc>
        <w:tc>
          <w:tcPr>
            <w:tcW w:w="700" w:type="dxa"/>
            <w:tcMar>
              <w:top w:w="0" w:type="dxa"/>
              <w:bottom w:w="0" w:type="dxa"/>
            </w:tcMar>
            <w:vAlign w:val="center"/>
          </w:tcPr>
          <w:p w14:paraId="047EC2A7" w14:textId="77777777" w:rsidR="001539A9" w:rsidRDefault="00000000">
            <w:pPr>
              <w:keepNext/>
              <w:keepLines/>
              <w:spacing w:after="0" w:line="240" w:lineRule="auto"/>
              <w:jc w:val="right"/>
            </w:pPr>
            <w:r>
              <w:rPr>
                <w:sz w:val="18"/>
              </w:rPr>
              <w:t>555,8</w:t>
            </w:r>
          </w:p>
        </w:tc>
      </w:tr>
    </w:tbl>
    <w:p w14:paraId="6B122D66" w14:textId="77777777" w:rsidR="001539A9" w:rsidRDefault="001539A9">
      <w:pPr>
        <w:spacing w:after="0"/>
      </w:pPr>
    </w:p>
    <w:p w14:paraId="33648350" w14:textId="77777777" w:rsidR="001539A9" w:rsidRDefault="00000000">
      <w:r>
        <w:t>Sitni inventar i autogume povećavaju se sa 542,94 eura u prethodnom razdoblju na 3.017,69 eura u promatranom razdoblju. Navedeni iznos odnosi se na 16 malih blagovaonskih stolica za klijente, na 2 magnetne ploče te na sitan uredski i kuhinjski inventar, zbog preseljenja u nove prostore.</w:t>
      </w:r>
    </w:p>
    <w:p w14:paraId="320E6536" w14:textId="77777777" w:rsidR="001539A9" w:rsidRDefault="001539A9"/>
    <w:p w14:paraId="6D4D9797" w14:textId="77777777" w:rsidR="001539A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21ACFB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D66E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2281AC"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D5425B"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5F709B"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6FBD98"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932C1" w14:textId="77777777" w:rsidR="001539A9" w:rsidRDefault="00000000">
            <w:pPr>
              <w:keepNext/>
              <w:keepLines/>
              <w:spacing w:after="0" w:line="240" w:lineRule="auto"/>
              <w:jc w:val="center"/>
            </w:pPr>
            <w:r>
              <w:rPr>
                <w:b/>
                <w:sz w:val="18"/>
              </w:rPr>
              <w:t>Indeks (%)</w:t>
            </w:r>
          </w:p>
        </w:tc>
      </w:tr>
      <w:tr w:rsidR="001539A9" w14:paraId="1A80947A" w14:textId="77777777">
        <w:tblPrEx>
          <w:tblCellMar>
            <w:top w:w="0" w:type="dxa"/>
            <w:bottom w:w="0" w:type="dxa"/>
          </w:tblCellMar>
        </w:tblPrEx>
        <w:trPr>
          <w:cantSplit/>
          <w:trHeight w:val="560"/>
        </w:trPr>
        <w:tc>
          <w:tcPr>
            <w:tcW w:w="700" w:type="dxa"/>
            <w:tcMar>
              <w:top w:w="0" w:type="dxa"/>
              <w:bottom w:w="0" w:type="dxa"/>
            </w:tcMar>
            <w:vAlign w:val="center"/>
          </w:tcPr>
          <w:p w14:paraId="043321A9" w14:textId="77777777" w:rsidR="001539A9" w:rsidRDefault="00000000">
            <w:pPr>
              <w:keepNext/>
              <w:keepLines/>
              <w:spacing w:after="0" w:line="240" w:lineRule="auto"/>
            </w:pPr>
            <w:r>
              <w:rPr>
                <w:sz w:val="18"/>
              </w:rPr>
              <w:t>3232</w:t>
            </w:r>
          </w:p>
        </w:tc>
        <w:tc>
          <w:tcPr>
            <w:tcW w:w="3180" w:type="dxa"/>
            <w:tcMar>
              <w:top w:w="0" w:type="dxa"/>
              <w:bottom w:w="0" w:type="dxa"/>
            </w:tcMar>
            <w:vAlign w:val="center"/>
          </w:tcPr>
          <w:p w14:paraId="389EF6D5" w14:textId="77777777" w:rsidR="001539A9"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5702A30" w14:textId="77777777" w:rsidR="001539A9" w:rsidRDefault="00000000">
            <w:pPr>
              <w:keepNext/>
              <w:keepLines/>
              <w:spacing w:after="0" w:line="240" w:lineRule="auto"/>
            </w:pPr>
            <w:r>
              <w:rPr>
                <w:sz w:val="18"/>
              </w:rPr>
              <w:t>3232</w:t>
            </w:r>
          </w:p>
        </w:tc>
        <w:tc>
          <w:tcPr>
            <w:tcW w:w="1860" w:type="dxa"/>
            <w:tcMar>
              <w:top w:w="0" w:type="dxa"/>
              <w:bottom w:w="0" w:type="dxa"/>
            </w:tcMar>
            <w:vAlign w:val="center"/>
          </w:tcPr>
          <w:p w14:paraId="7B0F40FC" w14:textId="77777777" w:rsidR="001539A9" w:rsidRDefault="00000000">
            <w:pPr>
              <w:keepNext/>
              <w:keepLines/>
              <w:spacing w:after="0" w:line="240" w:lineRule="auto"/>
              <w:jc w:val="right"/>
            </w:pPr>
            <w:r>
              <w:rPr>
                <w:sz w:val="18"/>
              </w:rPr>
              <w:t>320,77</w:t>
            </w:r>
          </w:p>
        </w:tc>
        <w:tc>
          <w:tcPr>
            <w:tcW w:w="1860" w:type="dxa"/>
            <w:tcMar>
              <w:top w:w="0" w:type="dxa"/>
              <w:bottom w:w="0" w:type="dxa"/>
            </w:tcMar>
            <w:vAlign w:val="center"/>
          </w:tcPr>
          <w:p w14:paraId="133D03AD" w14:textId="77777777" w:rsidR="001539A9" w:rsidRDefault="00000000">
            <w:pPr>
              <w:keepNext/>
              <w:keepLines/>
              <w:spacing w:after="0" w:line="240" w:lineRule="auto"/>
              <w:jc w:val="right"/>
            </w:pPr>
            <w:r>
              <w:rPr>
                <w:sz w:val="18"/>
              </w:rPr>
              <w:t>1.124,00</w:t>
            </w:r>
          </w:p>
        </w:tc>
        <w:tc>
          <w:tcPr>
            <w:tcW w:w="700" w:type="dxa"/>
            <w:tcMar>
              <w:top w:w="0" w:type="dxa"/>
              <w:bottom w:w="0" w:type="dxa"/>
            </w:tcMar>
            <w:vAlign w:val="center"/>
          </w:tcPr>
          <w:p w14:paraId="26C2CEB4" w14:textId="77777777" w:rsidR="001539A9" w:rsidRDefault="00000000">
            <w:pPr>
              <w:keepNext/>
              <w:keepLines/>
              <w:spacing w:after="0" w:line="240" w:lineRule="auto"/>
              <w:jc w:val="right"/>
            </w:pPr>
            <w:r>
              <w:rPr>
                <w:sz w:val="18"/>
              </w:rPr>
              <w:t>350,4</w:t>
            </w:r>
          </w:p>
        </w:tc>
      </w:tr>
    </w:tbl>
    <w:p w14:paraId="51CCD1EE" w14:textId="77777777" w:rsidR="001539A9" w:rsidRDefault="001539A9">
      <w:pPr>
        <w:spacing w:after="0"/>
      </w:pPr>
    </w:p>
    <w:p w14:paraId="399E677C" w14:textId="77777777" w:rsidR="001539A9" w:rsidRDefault="00000000">
      <w:r>
        <w:lastRenderedPageBreak/>
        <w:t>Usluge tekućeg i investicijskog održavanja povećavaju se sa 320,77 eura na 1.124,00 eura. Povećanje rashoda odnosi se na troškove održavanja službenog vozila te popravke uredske opreme tijekom izvještajnog razdoblja.</w:t>
      </w:r>
    </w:p>
    <w:p w14:paraId="0CF4D997" w14:textId="77777777" w:rsidR="001539A9" w:rsidRDefault="001539A9"/>
    <w:p w14:paraId="284C2BA8" w14:textId="77777777" w:rsidR="001539A9"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756BD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38F8C"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16943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1288D"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D5488"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0BECD"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846656" w14:textId="77777777" w:rsidR="001539A9" w:rsidRDefault="00000000">
            <w:pPr>
              <w:keepNext/>
              <w:keepLines/>
              <w:spacing w:after="0" w:line="240" w:lineRule="auto"/>
              <w:jc w:val="center"/>
            </w:pPr>
            <w:r>
              <w:rPr>
                <w:b/>
                <w:sz w:val="18"/>
              </w:rPr>
              <w:t>Indeks (%)</w:t>
            </w:r>
          </w:p>
        </w:tc>
      </w:tr>
      <w:tr w:rsidR="001539A9" w14:paraId="04B75397" w14:textId="77777777">
        <w:tblPrEx>
          <w:tblCellMar>
            <w:top w:w="0" w:type="dxa"/>
            <w:bottom w:w="0" w:type="dxa"/>
          </w:tblCellMar>
        </w:tblPrEx>
        <w:trPr>
          <w:cantSplit/>
          <w:trHeight w:val="560"/>
        </w:trPr>
        <w:tc>
          <w:tcPr>
            <w:tcW w:w="700" w:type="dxa"/>
            <w:tcMar>
              <w:top w:w="0" w:type="dxa"/>
              <w:bottom w:w="0" w:type="dxa"/>
            </w:tcMar>
            <w:vAlign w:val="center"/>
          </w:tcPr>
          <w:p w14:paraId="259D4E9E" w14:textId="77777777" w:rsidR="001539A9" w:rsidRDefault="00000000">
            <w:pPr>
              <w:keepNext/>
              <w:keepLines/>
              <w:spacing w:after="0" w:line="240" w:lineRule="auto"/>
            </w:pPr>
            <w:r>
              <w:rPr>
                <w:sz w:val="18"/>
              </w:rPr>
              <w:t>3233</w:t>
            </w:r>
          </w:p>
        </w:tc>
        <w:tc>
          <w:tcPr>
            <w:tcW w:w="3180" w:type="dxa"/>
            <w:tcMar>
              <w:top w:w="0" w:type="dxa"/>
              <w:bottom w:w="0" w:type="dxa"/>
            </w:tcMar>
            <w:vAlign w:val="center"/>
          </w:tcPr>
          <w:p w14:paraId="1EDDBDEB" w14:textId="77777777" w:rsidR="001539A9"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3BCBB4E4" w14:textId="77777777" w:rsidR="001539A9" w:rsidRDefault="00000000">
            <w:pPr>
              <w:keepNext/>
              <w:keepLines/>
              <w:spacing w:after="0" w:line="240" w:lineRule="auto"/>
            </w:pPr>
            <w:r>
              <w:rPr>
                <w:sz w:val="18"/>
              </w:rPr>
              <w:t>3233</w:t>
            </w:r>
          </w:p>
        </w:tc>
        <w:tc>
          <w:tcPr>
            <w:tcW w:w="1860" w:type="dxa"/>
            <w:tcMar>
              <w:top w:w="0" w:type="dxa"/>
              <w:bottom w:w="0" w:type="dxa"/>
            </w:tcMar>
            <w:vAlign w:val="center"/>
          </w:tcPr>
          <w:p w14:paraId="10E76479" w14:textId="77777777" w:rsidR="001539A9" w:rsidRDefault="00000000">
            <w:pPr>
              <w:keepNext/>
              <w:keepLines/>
              <w:spacing w:after="0" w:line="240" w:lineRule="auto"/>
              <w:jc w:val="right"/>
            </w:pPr>
            <w:r>
              <w:rPr>
                <w:sz w:val="18"/>
              </w:rPr>
              <w:t>3.567,72</w:t>
            </w:r>
          </w:p>
        </w:tc>
        <w:tc>
          <w:tcPr>
            <w:tcW w:w="1860" w:type="dxa"/>
            <w:tcMar>
              <w:top w:w="0" w:type="dxa"/>
              <w:bottom w:w="0" w:type="dxa"/>
            </w:tcMar>
            <w:vAlign w:val="center"/>
          </w:tcPr>
          <w:p w14:paraId="1806410A" w14:textId="77777777" w:rsidR="001539A9" w:rsidRDefault="00000000">
            <w:pPr>
              <w:keepNext/>
              <w:keepLines/>
              <w:spacing w:after="0" w:line="240" w:lineRule="auto"/>
              <w:jc w:val="right"/>
            </w:pPr>
            <w:r>
              <w:rPr>
                <w:sz w:val="18"/>
              </w:rPr>
              <w:t>6.409,53</w:t>
            </w:r>
          </w:p>
        </w:tc>
        <w:tc>
          <w:tcPr>
            <w:tcW w:w="700" w:type="dxa"/>
            <w:tcMar>
              <w:top w:w="0" w:type="dxa"/>
              <w:bottom w:w="0" w:type="dxa"/>
            </w:tcMar>
            <w:vAlign w:val="center"/>
          </w:tcPr>
          <w:p w14:paraId="42F9D042" w14:textId="77777777" w:rsidR="001539A9" w:rsidRDefault="00000000">
            <w:pPr>
              <w:keepNext/>
              <w:keepLines/>
              <w:spacing w:after="0" w:line="240" w:lineRule="auto"/>
              <w:jc w:val="right"/>
            </w:pPr>
            <w:r>
              <w:rPr>
                <w:sz w:val="18"/>
              </w:rPr>
              <w:t>179,7</w:t>
            </w:r>
          </w:p>
        </w:tc>
      </w:tr>
    </w:tbl>
    <w:p w14:paraId="080E72A5" w14:textId="77777777" w:rsidR="001539A9" w:rsidRDefault="001539A9">
      <w:pPr>
        <w:spacing w:after="0"/>
      </w:pPr>
    </w:p>
    <w:p w14:paraId="2D50CC8E" w14:textId="77777777" w:rsidR="001539A9" w:rsidRDefault="00000000">
      <w:r>
        <w:t>Rashodi za usluge promidžbe i informiranja u izvještajnom razdoblju iznosili su 6.409,53 eura, što predstavlja povećanje od 79,7 % u odnosu na prethodno razdoblje. Povećanje rashoda rezultat je većeg troška usluga promidžbe i informiranja te troškova objave natječaja za izbor ravnatelja.</w:t>
      </w:r>
    </w:p>
    <w:p w14:paraId="0FC4284C" w14:textId="77777777" w:rsidR="001539A9" w:rsidRDefault="001539A9"/>
    <w:p w14:paraId="734AB4BD" w14:textId="77777777" w:rsidR="001539A9"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C3F7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049B4B"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C63DA1"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6F180"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B9531"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73C89"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DA3567" w14:textId="77777777" w:rsidR="001539A9" w:rsidRDefault="00000000">
            <w:pPr>
              <w:keepNext/>
              <w:keepLines/>
              <w:spacing w:after="0" w:line="240" w:lineRule="auto"/>
              <w:jc w:val="center"/>
            </w:pPr>
            <w:r>
              <w:rPr>
                <w:b/>
                <w:sz w:val="18"/>
              </w:rPr>
              <w:t>Indeks (%)</w:t>
            </w:r>
          </w:p>
        </w:tc>
      </w:tr>
      <w:tr w:rsidR="001539A9" w14:paraId="711CB169" w14:textId="77777777">
        <w:tblPrEx>
          <w:tblCellMar>
            <w:top w:w="0" w:type="dxa"/>
            <w:bottom w:w="0" w:type="dxa"/>
          </w:tblCellMar>
        </w:tblPrEx>
        <w:trPr>
          <w:cantSplit/>
          <w:trHeight w:val="560"/>
        </w:trPr>
        <w:tc>
          <w:tcPr>
            <w:tcW w:w="700" w:type="dxa"/>
            <w:tcMar>
              <w:top w:w="0" w:type="dxa"/>
              <w:bottom w:w="0" w:type="dxa"/>
            </w:tcMar>
            <w:vAlign w:val="center"/>
          </w:tcPr>
          <w:p w14:paraId="5ACD8CFC" w14:textId="77777777" w:rsidR="001539A9" w:rsidRDefault="00000000">
            <w:pPr>
              <w:keepNext/>
              <w:keepLines/>
              <w:spacing w:after="0" w:line="240" w:lineRule="auto"/>
            </w:pPr>
            <w:r>
              <w:rPr>
                <w:sz w:val="18"/>
              </w:rPr>
              <w:t>3234</w:t>
            </w:r>
          </w:p>
        </w:tc>
        <w:tc>
          <w:tcPr>
            <w:tcW w:w="3180" w:type="dxa"/>
            <w:tcMar>
              <w:top w:w="0" w:type="dxa"/>
              <w:bottom w:w="0" w:type="dxa"/>
            </w:tcMar>
            <w:vAlign w:val="center"/>
          </w:tcPr>
          <w:p w14:paraId="1AA694D0" w14:textId="77777777" w:rsidR="001539A9" w:rsidRDefault="00000000">
            <w:pPr>
              <w:keepNext/>
              <w:keepLines/>
              <w:spacing w:after="0" w:line="240" w:lineRule="auto"/>
            </w:pPr>
            <w:r>
              <w:rPr>
                <w:sz w:val="18"/>
              </w:rPr>
              <w:t>Komunalne usluge</w:t>
            </w:r>
          </w:p>
        </w:tc>
        <w:tc>
          <w:tcPr>
            <w:tcW w:w="700" w:type="dxa"/>
            <w:tcMar>
              <w:top w:w="0" w:type="dxa"/>
              <w:bottom w:w="0" w:type="dxa"/>
            </w:tcMar>
            <w:vAlign w:val="center"/>
          </w:tcPr>
          <w:p w14:paraId="03A7AD4F" w14:textId="77777777" w:rsidR="001539A9" w:rsidRDefault="00000000">
            <w:pPr>
              <w:keepNext/>
              <w:keepLines/>
              <w:spacing w:after="0" w:line="240" w:lineRule="auto"/>
            </w:pPr>
            <w:r>
              <w:rPr>
                <w:sz w:val="18"/>
              </w:rPr>
              <w:t>3234</w:t>
            </w:r>
          </w:p>
        </w:tc>
        <w:tc>
          <w:tcPr>
            <w:tcW w:w="1860" w:type="dxa"/>
            <w:tcMar>
              <w:top w:w="0" w:type="dxa"/>
              <w:bottom w:w="0" w:type="dxa"/>
            </w:tcMar>
            <w:vAlign w:val="center"/>
          </w:tcPr>
          <w:p w14:paraId="52B05696" w14:textId="77777777" w:rsidR="001539A9" w:rsidRDefault="00000000">
            <w:pPr>
              <w:keepNext/>
              <w:keepLines/>
              <w:spacing w:after="0" w:line="240" w:lineRule="auto"/>
              <w:jc w:val="right"/>
            </w:pPr>
            <w:r>
              <w:rPr>
                <w:sz w:val="18"/>
              </w:rPr>
              <w:t>6.885,38</w:t>
            </w:r>
          </w:p>
        </w:tc>
        <w:tc>
          <w:tcPr>
            <w:tcW w:w="1860" w:type="dxa"/>
            <w:tcMar>
              <w:top w:w="0" w:type="dxa"/>
              <w:bottom w:w="0" w:type="dxa"/>
            </w:tcMar>
            <w:vAlign w:val="center"/>
          </w:tcPr>
          <w:p w14:paraId="51F69CBF" w14:textId="77777777" w:rsidR="001539A9" w:rsidRDefault="00000000">
            <w:pPr>
              <w:keepNext/>
              <w:keepLines/>
              <w:spacing w:after="0" w:line="240" w:lineRule="auto"/>
              <w:jc w:val="right"/>
            </w:pPr>
            <w:r>
              <w:rPr>
                <w:sz w:val="18"/>
              </w:rPr>
              <w:t>680,52</w:t>
            </w:r>
          </w:p>
        </w:tc>
        <w:tc>
          <w:tcPr>
            <w:tcW w:w="700" w:type="dxa"/>
            <w:tcMar>
              <w:top w:w="0" w:type="dxa"/>
              <w:bottom w:w="0" w:type="dxa"/>
            </w:tcMar>
            <w:vAlign w:val="center"/>
          </w:tcPr>
          <w:p w14:paraId="7CE82692" w14:textId="77777777" w:rsidR="001539A9" w:rsidRDefault="00000000">
            <w:pPr>
              <w:keepNext/>
              <w:keepLines/>
              <w:spacing w:after="0" w:line="240" w:lineRule="auto"/>
              <w:jc w:val="right"/>
            </w:pPr>
            <w:r>
              <w:rPr>
                <w:sz w:val="18"/>
              </w:rPr>
              <w:t>9,9</w:t>
            </w:r>
          </w:p>
        </w:tc>
      </w:tr>
    </w:tbl>
    <w:p w14:paraId="74CF0B71" w14:textId="77777777" w:rsidR="001539A9" w:rsidRDefault="001539A9">
      <w:pPr>
        <w:spacing w:after="0"/>
      </w:pPr>
    </w:p>
    <w:p w14:paraId="45F6E975" w14:textId="77777777" w:rsidR="001539A9" w:rsidRDefault="00000000">
      <w:r>
        <w:t>Komunalne usluge smanjuju se sa 6.885,38 eura na 680,52 eura, a razlog smanjenja je preseljenje Agencije iz prostora Poslovnog parka d.o.o. u prostore Grada Virovitice tijekom mjeseca veljače 2025. godine. Sukladno ugovoru s novim najmodavcem, Gradom Virovitica koji je ujedno i naš osnivač, oslobođeni smo obveze plaćanja spomeničke rente, pričuve i komunalne naknade.</w:t>
      </w:r>
    </w:p>
    <w:p w14:paraId="2C670DA3" w14:textId="77777777" w:rsidR="001539A9" w:rsidRDefault="001539A9"/>
    <w:p w14:paraId="088301C8" w14:textId="77777777" w:rsidR="001539A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06859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E807C9"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7F715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C608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055B1"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42CB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3170F" w14:textId="77777777" w:rsidR="001539A9" w:rsidRDefault="00000000">
            <w:pPr>
              <w:keepNext/>
              <w:keepLines/>
              <w:spacing w:after="0" w:line="240" w:lineRule="auto"/>
              <w:jc w:val="center"/>
            </w:pPr>
            <w:r>
              <w:rPr>
                <w:b/>
                <w:sz w:val="18"/>
              </w:rPr>
              <w:t>Indeks (%)</w:t>
            </w:r>
          </w:p>
        </w:tc>
      </w:tr>
      <w:tr w:rsidR="001539A9" w14:paraId="2B87FC51" w14:textId="77777777">
        <w:tblPrEx>
          <w:tblCellMar>
            <w:top w:w="0" w:type="dxa"/>
            <w:bottom w:w="0" w:type="dxa"/>
          </w:tblCellMar>
        </w:tblPrEx>
        <w:trPr>
          <w:cantSplit/>
          <w:trHeight w:val="560"/>
        </w:trPr>
        <w:tc>
          <w:tcPr>
            <w:tcW w:w="700" w:type="dxa"/>
            <w:tcMar>
              <w:top w:w="0" w:type="dxa"/>
              <w:bottom w:w="0" w:type="dxa"/>
            </w:tcMar>
            <w:vAlign w:val="center"/>
          </w:tcPr>
          <w:p w14:paraId="3E5119F3" w14:textId="77777777" w:rsidR="001539A9" w:rsidRDefault="00000000">
            <w:pPr>
              <w:keepNext/>
              <w:keepLines/>
              <w:spacing w:after="0" w:line="240" w:lineRule="auto"/>
            </w:pPr>
            <w:r>
              <w:rPr>
                <w:sz w:val="18"/>
              </w:rPr>
              <w:t>3235</w:t>
            </w:r>
          </w:p>
        </w:tc>
        <w:tc>
          <w:tcPr>
            <w:tcW w:w="3180" w:type="dxa"/>
            <w:tcMar>
              <w:top w:w="0" w:type="dxa"/>
              <w:bottom w:w="0" w:type="dxa"/>
            </w:tcMar>
            <w:vAlign w:val="center"/>
          </w:tcPr>
          <w:p w14:paraId="485D4D5B" w14:textId="77777777" w:rsidR="001539A9" w:rsidRDefault="00000000">
            <w:pPr>
              <w:keepNext/>
              <w:keepLines/>
              <w:spacing w:after="0" w:line="240" w:lineRule="auto"/>
            </w:pPr>
            <w:r>
              <w:rPr>
                <w:sz w:val="18"/>
              </w:rPr>
              <w:t>Zakupnine i najamnine</w:t>
            </w:r>
          </w:p>
        </w:tc>
        <w:tc>
          <w:tcPr>
            <w:tcW w:w="700" w:type="dxa"/>
            <w:tcMar>
              <w:top w:w="0" w:type="dxa"/>
              <w:bottom w:w="0" w:type="dxa"/>
            </w:tcMar>
            <w:vAlign w:val="center"/>
          </w:tcPr>
          <w:p w14:paraId="3E6D6843" w14:textId="77777777" w:rsidR="001539A9" w:rsidRDefault="00000000">
            <w:pPr>
              <w:keepNext/>
              <w:keepLines/>
              <w:spacing w:after="0" w:line="240" w:lineRule="auto"/>
            </w:pPr>
            <w:r>
              <w:rPr>
                <w:sz w:val="18"/>
              </w:rPr>
              <w:t>3235</w:t>
            </w:r>
          </w:p>
        </w:tc>
        <w:tc>
          <w:tcPr>
            <w:tcW w:w="1860" w:type="dxa"/>
            <w:tcMar>
              <w:top w:w="0" w:type="dxa"/>
              <w:bottom w:w="0" w:type="dxa"/>
            </w:tcMar>
            <w:vAlign w:val="center"/>
          </w:tcPr>
          <w:p w14:paraId="0645A1C5" w14:textId="77777777" w:rsidR="001539A9" w:rsidRDefault="00000000">
            <w:pPr>
              <w:keepNext/>
              <w:keepLines/>
              <w:spacing w:after="0" w:line="240" w:lineRule="auto"/>
              <w:jc w:val="right"/>
            </w:pPr>
            <w:r>
              <w:rPr>
                <w:sz w:val="18"/>
              </w:rPr>
              <w:t>20.747,28</w:t>
            </w:r>
          </w:p>
        </w:tc>
        <w:tc>
          <w:tcPr>
            <w:tcW w:w="1860" w:type="dxa"/>
            <w:tcMar>
              <w:top w:w="0" w:type="dxa"/>
              <w:bottom w:w="0" w:type="dxa"/>
            </w:tcMar>
            <w:vAlign w:val="center"/>
          </w:tcPr>
          <w:p w14:paraId="385BA45C" w14:textId="77777777" w:rsidR="001539A9" w:rsidRDefault="00000000">
            <w:pPr>
              <w:keepNext/>
              <w:keepLines/>
              <w:spacing w:after="0" w:line="240" w:lineRule="auto"/>
              <w:jc w:val="right"/>
            </w:pPr>
            <w:r>
              <w:rPr>
                <w:sz w:val="18"/>
              </w:rPr>
              <w:t>4.876,94</w:t>
            </w:r>
          </w:p>
        </w:tc>
        <w:tc>
          <w:tcPr>
            <w:tcW w:w="700" w:type="dxa"/>
            <w:tcMar>
              <w:top w:w="0" w:type="dxa"/>
              <w:bottom w:w="0" w:type="dxa"/>
            </w:tcMar>
            <w:vAlign w:val="center"/>
          </w:tcPr>
          <w:p w14:paraId="2EBD3431" w14:textId="77777777" w:rsidR="001539A9" w:rsidRDefault="00000000">
            <w:pPr>
              <w:keepNext/>
              <w:keepLines/>
              <w:spacing w:after="0" w:line="240" w:lineRule="auto"/>
              <w:jc w:val="right"/>
            </w:pPr>
            <w:r>
              <w:rPr>
                <w:sz w:val="18"/>
              </w:rPr>
              <w:t>23,5</w:t>
            </w:r>
          </w:p>
        </w:tc>
      </w:tr>
    </w:tbl>
    <w:p w14:paraId="1AE771F7" w14:textId="77777777" w:rsidR="001539A9" w:rsidRDefault="001539A9">
      <w:pPr>
        <w:spacing w:after="0"/>
      </w:pPr>
    </w:p>
    <w:p w14:paraId="3C0BCF99" w14:textId="77777777" w:rsidR="001539A9" w:rsidRDefault="00000000">
      <w:r>
        <w:t>Zakupnine i najamnine smanjuju se sa 20.747,28 eura na 4.876,94 eura, a razlog smanjenja je preseljenje Agencije iz prostora Poslovnog parka d.o.o. u prostore Grada Virovitice tijekom mjeseca veljače 2025. godine. Naime, Agencija je s Gradom Viroviticom sklopila ugovor o korištenju prostora bez plaćanja najamnine.</w:t>
      </w:r>
    </w:p>
    <w:p w14:paraId="2C27E345" w14:textId="77777777" w:rsidR="001539A9" w:rsidRDefault="001539A9"/>
    <w:p w14:paraId="11469ADF" w14:textId="77777777" w:rsidR="001539A9"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29E502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B01774"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80B10D"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153FD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F58E6"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24D12"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935307" w14:textId="77777777" w:rsidR="001539A9" w:rsidRDefault="00000000">
            <w:pPr>
              <w:keepNext/>
              <w:keepLines/>
              <w:spacing w:after="0" w:line="240" w:lineRule="auto"/>
              <w:jc w:val="center"/>
            </w:pPr>
            <w:r>
              <w:rPr>
                <w:b/>
                <w:sz w:val="18"/>
              </w:rPr>
              <w:t>Indeks (%)</w:t>
            </w:r>
          </w:p>
        </w:tc>
      </w:tr>
      <w:tr w:rsidR="001539A9" w14:paraId="07859692" w14:textId="77777777">
        <w:tblPrEx>
          <w:tblCellMar>
            <w:top w:w="0" w:type="dxa"/>
            <w:bottom w:w="0" w:type="dxa"/>
          </w:tblCellMar>
        </w:tblPrEx>
        <w:trPr>
          <w:cantSplit/>
          <w:trHeight w:val="560"/>
        </w:trPr>
        <w:tc>
          <w:tcPr>
            <w:tcW w:w="700" w:type="dxa"/>
            <w:tcMar>
              <w:top w:w="0" w:type="dxa"/>
              <w:bottom w:w="0" w:type="dxa"/>
            </w:tcMar>
            <w:vAlign w:val="center"/>
          </w:tcPr>
          <w:p w14:paraId="51A9EC82" w14:textId="77777777" w:rsidR="001539A9" w:rsidRDefault="00000000">
            <w:pPr>
              <w:keepNext/>
              <w:keepLines/>
              <w:spacing w:after="0" w:line="240" w:lineRule="auto"/>
            </w:pPr>
            <w:r>
              <w:rPr>
                <w:sz w:val="18"/>
              </w:rPr>
              <w:t>3236</w:t>
            </w:r>
          </w:p>
        </w:tc>
        <w:tc>
          <w:tcPr>
            <w:tcW w:w="3180" w:type="dxa"/>
            <w:tcMar>
              <w:top w:w="0" w:type="dxa"/>
              <w:bottom w:w="0" w:type="dxa"/>
            </w:tcMar>
            <w:vAlign w:val="center"/>
          </w:tcPr>
          <w:p w14:paraId="7EE3163B" w14:textId="77777777" w:rsidR="001539A9"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8D8E1EC" w14:textId="77777777" w:rsidR="001539A9" w:rsidRDefault="00000000">
            <w:pPr>
              <w:keepNext/>
              <w:keepLines/>
              <w:spacing w:after="0" w:line="240" w:lineRule="auto"/>
            </w:pPr>
            <w:r>
              <w:rPr>
                <w:sz w:val="18"/>
              </w:rPr>
              <w:t>3236</w:t>
            </w:r>
          </w:p>
        </w:tc>
        <w:tc>
          <w:tcPr>
            <w:tcW w:w="1860" w:type="dxa"/>
            <w:tcMar>
              <w:top w:w="0" w:type="dxa"/>
              <w:bottom w:w="0" w:type="dxa"/>
            </w:tcMar>
            <w:vAlign w:val="center"/>
          </w:tcPr>
          <w:p w14:paraId="63600AC0" w14:textId="77777777" w:rsidR="001539A9" w:rsidRDefault="00000000">
            <w:pPr>
              <w:keepNext/>
              <w:keepLines/>
              <w:spacing w:after="0" w:line="240" w:lineRule="auto"/>
              <w:jc w:val="right"/>
            </w:pPr>
            <w:r>
              <w:rPr>
                <w:sz w:val="18"/>
              </w:rPr>
              <w:t>4.061,30</w:t>
            </w:r>
          </w:p>
        </w:tc>
        <w:tc>
          <w:tcPr>
            <w:tcW w:w="1860" w:type="dxa"/>
            <w:tcMar>
              <w:top w:w="0" w:type="dxa"/>
              <w:bottom w:w="0" w:type="dxa"/>
            </w:tcMar>
            <w:vAlign w:val="center"/>
          </w:tcPr>
          <w:p w14:paraId="768956CA" w14:textId="77777777" w:rsidR="001539A9" w:rsidRDefault="00000000">
            <w:pPr>
              <w:keepNext/>
              <w:keepLines/>
              <w:spacing w:after="0" w:line="240" w:lineRule="auto"/>
              <w:jc w:val="right"/>
            </w:pPr>
            <w:r>
              <w:rPr>
                <w:sz w:val="18"/>
              </w:rPr>
              <w:t>5.400,00</w:t>
            </w:r>
          </w:p>
        </w:tc>
        <w:tc>
          <w:tcPr>
            <w:tcW w:w="700" w:type="dxa"/>
            <w:tcMar>
              <w:top w:w="0" w:type="dxa"/>
              <w:bottom w:w="0" w:type="dxa"/>
            </w:tcMar>
            <w:vAlign w:val="center"/>
          </w:tcPr>
          <w:p w14:paraId="0DD38AEE" w14:textId="77777777" w:rsidR="001539A9" w:rsidRDefault="00000000">
            <w:pPr>
              <w:keepNext/>
              <w:keepLines/>
              <w:spacing w:after="0" w:line="240" w:lineRule="auto"/>
              <w:jc w:val="right"/>
            </w:pPr>
            <w:r>
              <w:rPr>
                <w:sz w:val="18"/>
              </w:rPr>
              <w:t>133,0</w:t>
            </w:r>
          </w:p>
        </w:tc>
      </w:tr>
    </w:tbl>
    <w:p w14:paraId="2AEE04CE" w14:textId="77777777" w:rsidR="001539A9" w:rsidRDefault="001539A9">
      <w:pPr>
        <w:spacing w:after="0"/>
      </w:pPr>
    </w:p>
    <w:p w14:paraId="083B1B4C" w14:textId="77777777" w:rsidR="001539A9" w:rsidRDefault="00000000">
      <w:r>
        <w:t>Rashod zdravstvenih usluga povećan je za 33,0 % zbog porasta cijena na tržištu te zbog jednog zaposlenika više u promatranom razdoblju.</w:t>
      </w:r>
    </w:p>
    <w:p w14:paraId="5E92D886" w14:textId="77777777" w:rsidR="001539A9" w:rsidRDefault="001539A9"/>
    <w:p w14:paraId="42896312" w14:textId="77777777" w:rsidR="001539A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8878E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AA93F0"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FA3554"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CBAD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9D14F"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DF847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E89420" w14:textId="77777777" w:rsidR="001539A9" w:rsidRDefault="00000000">
            <w:pPr>
              <w:keepNext/>
              <w:keepLines/>
              <w:spacing w:after="0" w:line="240" w:lineRule="auto"/>
              <w:jc w:val="center"/>
            </w:pPr>
            <w:r>
              <w:rPr>
                <w:b/>
                <w:sz w:val="18"/>
              </w:rPr>
              <w:t>Indeks (%)</w:t>
            </w:r>
          </w:p>
        </w:tc>
      </w:tr>
      <w:tr w:rsidR="001539A9" w14:paraId="26CF1E1B" w14:textId="77777777">
        <w:tblPrEx>
          <w:tblCellMar>
            <w:top w:w="0" w:type="dxa"/>
            <w:bottom w:w="0" w:type="dxa"/>
          </w:tblCellMar>
        </w:tblPrEx>
        <w:trPr>
          <w:cantSplit/>
          <w:trHeight w:val="560"/>
        </w:trPr>
        <w:tc>
          <w:tcPr>
            <w:tcW w:w="700" w:type="dxa"/>
            <w:tcMar>
              <w:top w:w="0" w:type="dxa"/>
              <w:bottom w:w="0" w:type="dxa"/>
            </w:tcMar>
            <w:vAlign w:val="center"/>
          </w:tcPr>
          <w:p w14:paraId="13802B86" w14:textId="77777777" w:rsidR="001539A9" w:rsidRDefault="00000000">
            <w:pPr>
              <w:keepNext/>
              <w:keepLines/>
              <w:spacing w:after="0" w:line="240" w:lineRule="auto"/>
            </w:pPr>
            <w:r>
              <w:rPr>
                <w:sz w:val="18"/>
              </w:rPr>
              <w:t>3239</w:t>
            </w:r>
          </w:p>
        </w:tc>
        <w:tc>
          <w:tcPr>
            <w:tcW w:w="3180" w:type="dxa"/>
            <w:tcMar>
              <w:top w:w="0" w:type="dxa"/>
              <w:bottom w:w="0" w:type="dxa"/>
            </w:tcMar>
            <w:vAlign w:val="center"/>
          </w:tcPr>
          <w:p w14:paraId="37125D7E" w14:textId="77777777" w:rsidR="001539A9" w:rsidRDefault="00000000">
            <w:pPr>
              <w:keepNext/>
              <w:keepLines/>
              <w:spacing w:after="0" w:line="240" w:lineRule="auto"/>
            </w:pPr>
            <w:r>
              <w:rPr>
                <w:sz w:val="18"/>
              </w:rPr>
              <w:t>Ostale usluge</w:t>
            </w:r>
          </w:p>
        </w:tc>
        <w:tc>
          <w:tcPr>
            <w:tcW w:w="700" w:type="dxa"/>
            <w:tcMar>
              <w:top w:w="0" w:type="dxa"/>
              <w:bottom w:w="0" w:type="dxa"/>
            </w:tcMar>
            <w:vAlign w:val="center"/>
          </w:tcPr>
          <w:p w14:paraId="56996BE3" w14:textId="77777777" w:rsidR="001539A9" w:rsidRDefault="00000000">
            <w:pPr>
              <w:keepNext/>
              <w:keepLines/>
              <w:spacing w:after="0" w:line="240" w:lineRule="auto"/>
            </w:pPr>
            <w:r>
              <w:rPr>
                <w:sz w:val="18"/>
              </w:rPr>
              <w:t>3239</w:t>
            </w:r>
          </w:p>
        </w:tc>
        <w:tc>
          <w:tcPr>
            <w:tcW w:w="1860" w:type="dxa"/>
            <w:tcMar>
              <w:top w:w="0" w:type="dxa"/>
              <w:bottom w:w="0" w:type="dxa"/>
            </w:tcMar>
            <w:vAlign w:val="center"/>
          </w:tcPr>
          <w:p w14:paraId="56CCB762" w14:textId="77777777" w:rsidR="001539A9" w:rsidRDefault="00000000">
            <w:pPr>
              <w:keepNext/>
              <w:keepLines/>
              <w:spacing w:after="0" w:line="240" w:lineRule="auto"/>
              <w:jc w:val="right"/>
            </w:pPr>
            <w:r>
              <w:rPr>
                <w:sz w:val="18"/>
              </w:rPr>
              <w:t>3.099,01</w:t>
            </w:r>
          </w:p>
        </w:tc>
        <w:tc>
          <w:tcPr>
            <w:tcW w:w="1860" w:type="dxa"/>
            <w:tcMar>
              <w:top w:w="0" w:type="dxa"/>
              <w:bottom w:w="0" w:type="dxa"/>
            </w:tcMar>
            <w:vAlign w:val="center"/>
          </w:tcPr>
          <w:p w14:paraId="06A4153A" w14:textId="77777777" w:rsidR="001539A9" w:rsidRDefault="00000000">
            <w:pPr>
              <w:keepNext/>
              <w:keepLines/>
              <w:spacing w:after="0" w:line="240" w:lineRule="auto"/>
              <w:jc w:val="right"/>
            </w:pPr>
            <w:r>
              <w:rPr>
                <w:sz w:val="18"/>
              </w:rPr>
              <w:t>11.870,40</w:t>
            </w:r>
          </w:p>
        </w:tc>
        <w:tc>
          <w:tcPr>
            <w:tcW w:w="700" w:type="dxa"/>
            <w:tcMar>
              <w:top w:w="0" w:type="dxa"/>
              <w:bottom w:w="0" w:type="dxa"/>
            </w:tcMar>
            <w:vAlign w:val="center"/>
          </w:tcPr>
          <w:p w14:paraId="5FCF17C1" w14:textId="77777777" w:rsidR="001539A9" w:rsidRDefault="00000000">
            <w:pPr>
              <w:keepNext/>
              <w:keepLines/>
              <w:spacing w:after="0" w:line="240" w:lineRule="auto"/>
              <w:jc w:val="right"/>
            </w:pPr>
            <w:r>
              <w:rPr>
                <w:sz w:val="18"/>
              </w:rPr>
              <w:t>383,0</w:t>
            </w:r>
          </w:p>
        </w:tc>
      </w:tr>
    </w:tbl>
    <w:p w14:paraId="72C2C739" w14:textId="77777777" w:rsidR="001539A9" w:rsidRDefault="001539A9">
      <w:pPr>
        <w:spacing w:after="0"/>
      </w:pPr>
    </w:p>
    <w:p w14:paraId="3561D89C" w14:textId="77777777" w:rsidR="001539A9" w:rsidRDefault="00000000">
      <w:r>
        <w:t>Ostale usluge povećavaju se sa 3.099,01 eura na 11.870,40 eura. Povećanje se odnosi na grafičke i tiskarske usluge u novom prostoru (oznake, putokaz, pločice za vrata i slično) te na izrazito povećan trošak čišćenja poslovnog prostora čija je kvadratura znatno veća od prethodnog.</w:t>
      </w:r>
    </w:p>
    <w:p w14:paraId="05BF98BD" w14:textId="77777777" w:rsidR="001539A9" w:rsidRDefault="001539A9"/>
    <w:p w14:paraId="225349C0" w14:textId="77777777" w:rsidR="001539A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9EEC6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412257"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F4A6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6659B6"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C8477"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C2B1E8"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FE19A" w14:textId="77777777" w:rsidR="001539A9" w:rsidRDefault="00000000">
            <w:pPr>
              <w:keepNext/>
              <w:keepLines/>
              <w:spacing w:after="0" w:line="240" w:lineRule="auto"/>
              <w:jc w:val="center"/>
            </w:pPr>
            <w:r>
              <w:rPr>
                <w:b/>
                <w:sz w:val="18"/>
              </w:rPr>
              <w:t>Indeks (%)</w:t>
            </w:r>
          </w:p>
        </w:tc>
      </w:tr>
      <w:tr w:rsidR="001539A9" w14:paraId="0E0D506A" w14:textId="77777777">
        <w:tblPrEx>
          <w:tblCellMar>
            <w:top w:w="0" w:type="dxa"/>
            <w:bottom w:w="0" w:type="dxa"/>
          </w:tblCellMar>
        </w:tblPrEx>
        <w:trPr>
          <w:cantSplit/>
          <w:trHeight w:val="560"/>
        </w:trPr>
        <w:tc>
          <w:tcPr>
            <w:tcW w:w="700" w:type="dxa"/>
            <w:tcMar>
              <w:top w:w="0" w:type="dxa"/>
              <w:bottom w:w="0" w:type="dxa"/>
            </w:tcMar>
            <w:vAlign w:val="center"/>
          </w:tcPr>
          <w:p w14:paraId="583C8319" w14:textId="77777777" w:rsidR="001539A9" w:rsidRDefault="00000000">
            <w:pPr>
              <w:keepNext/>
              <w:keepLines/>
              <w:spacing w:after="0" w:line="240" w:lineRule="auto"/>
            </w:pPr>
            <w:r>
              <w:rPr>
                <w:sz w:val="18"/>
              </w:rPr>
              <w:t>3293</w:t>
            </w:r>
          </w:p>
        </w:tc>
        <w:tc>
          <w:tcPr>
            <w:tcW w:w="3180" w:type="dxa"/>
            <w:tcMar>
              <w:top w:w="0" w:type="dxa"/>
              <w:bottom w:w="0" w:type="dxa"/>
            </w:tcMar>
            <w:vAlign w:val="center"/>
          </w:tcPr>
          <w:p w14:paraId="247E419B" w14:textId="77777777" w:rsidR="001539A9" w:rsidRDefault="00000000">
            <w:pPr>
              <w:keepNext/>
              <w:keepLines/>
              <w:spacing w:after="0" w:line="240" w:lineRule="auto"/>
            </w:pPr>
            <w:r>
              <w:rPr>
                <w:sz w:val="18"/>
              </w:rPr>
              <w:t>Reprezentacija</w:t>
            </w:r>
          </w:p>
        </w:tc>
        <w:tc>
          <w:tcPr>
            <w:tcW w:w="700" w:type="dxa"/>
            <w:tcMar>
              <w:top w:w="0" w:type="dxa"/>
              <w:bottom w:w="0" w:type="dxa"/>
            </w:tcMar>
            <w:vAlign w:val="center"/>
          </w:tcPr>
          <w:p w14:paraId="1AA7A3E3" w14:textId="77777777" w:rsidR="001539A9" w:rsidRDefault="00000000">
            <w:pPr>
              <w:keepNext/>
              <w:keepLines/>
              <w:spacing w:after="0" w:line="240" w:lineRule="auto"/>
            </w:pPr>
            <w:r>
              <w:rPr>
                <w:sz w:val="18"/>
              </w:rPr>
              <w:t>3293</w:t>
            </w:r>
          </w:p>
        </w:tc>
        <w:tc>
          <w:tcPr>
            <w:tcW w:w="1860" w:type="dxa"/>
            <w:tcMar>
              <w:top w:w="0" w:type="dxa"/>
              <w:bottom w:w="0" w:type="dxa"/>
            </w:tcMar>
            <w:vAlign w:val="center"/>
          </w:tcPr>
          <w:p w14:paraId="2C47075E" w14:textId="77777777" w:rsidR="001539A9" w:rsidRDefault="00000000">
            <w:pPr>
              <w:keepNext/>
              <w:keepLines/>
              <w:spacing w:after="0" w:line="240" w:lineRule="auto"/>
              <w:jc w:val="right"/>
            </w:pPr>
            <w:r>
              <w:rPr>
                <w:sz w:val="18"/>
              </w:rPr>
              <w:t>421,00</w:t>
            </w:r>
          </w:p>
        </w:tc>
        <w:tc>
          <w:tcPr>
            <w:tcW w:w="1860" w:type="dxa"/>
            <w:tcMar>
              <w:top w:w="0" w:type="dxa"/>
              <w:bottom w:w="0" w:type="dxa"/>
            </w:tcMar>
            <w:vAlign w:val="center"/>
          </w:tcPr>
          <w:p w14:paraId="3BF27B10" w14:textId="77777777" w:rsidR="001539A9" w:rsidRDefault="00000000">
            <w:pPr>
              <w:keepNext/>
              <w:keepLines/>
              <w:spacing w:after="0" w:line="240" w:lineRule="auto"/>
              <w:jc w:val="right"/>
            </w:pPr>
            <w:r>
              <w:rPr>
                <w:sz w:val="18"/>
              </w:rPr>
              <w:t>2.186,56</w:t>
            </w:r>
          </w:p>
        </w:tc>
        <w:tc>
          <w:tcPr>
            <w:tcW w:w="700" w:type="dxa"/>
            <w:tcMar>
              <w:top w:w="0" w:type="dxa"/>
              <w:bottom w:w="0" w:type="dxa"/>
            </w:tcMar>
            <w:vAlign w:val="center"/>
          </w:tcPr>
          <w:p w14:paraId="6067ED73" w14:textId="77777777" w:rsidR="001539A9" w:rsidRDefault="00000000">
            <w:pPr>
              <w:keepNext/>
              <w:keepLines/>
              <w:spacing w:after="0" w:line="240" w:lineRule="auto"/>
              <w:jc w:val="right"/>
            </w:pPr>
            <w:r>
              <w:rPr>
                <w:sz w:val="18"/>
              </w:rPr>
              <w:t>519,4</w:t>
            </w:r>
          </w:p>
        </w:tc>
      </w:tr>
    </w:tbl>
    <w:p w14:paraId="2FD29ABF" w14:textId="77777777" w:rsidR="001539A9" w:rsidRDefault="001539A9">
      <w:pPr>
        <w:spacing w:after="0"/>
      </w:pPr>
    </w:p>
    <w:p w14:paraId="3D87599E" w14:textId="77777777" w:rsidR="001539A9" w:rsidRDefault="00000000">
      <w:r>
        <w:t>Reprezentacija se povećala sa 421,00 eura na 2.186,56 eura, a odnosi se na trošak obilježavanja preseljenja u nove prostore te na poklone za poslovne partnere povodom božićnih blagdana.</w:t>
      </w:r>
    </w:p>
    <w:p w14:paraId="0C85E023" w14:textId="77777777" w:rsidR="001539A9" w:rsidRDefault="001539A9"/>
    <w:p w14:paraId="06F45B1C" w14:textId="77777777" w:rsidR="001539A9"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3AE4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580415"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A17B56"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566A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13C9D"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F2263"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6F127" w14:textId="77777777" w:rsidR="001539A9" w:rsidRDefault="00000000">
            <w:pPr>
              <w:keepNext/>
              <w:keepLines/>
              <w:spacing w:after="0" w:line="240" w:lineRule="auto"/>
              <w:jc w:val="center"/>
            </w:pPr>
            <w:r>
              <w:rPr>
                <w:b/>
                <w:sz w:val="18"/>
              </w:rPr>
              <w:t>Indeks (%)</w:t>
            </w:r>
          </w:p>
        </w:tc>
      </w:tr>
      <w:tr w:rsidR="001539A9" w14:paraId="61210BE6" w14:textId="77777777">
        <w:tblPrEx>
          <w:tblCellMar>
            <w:top w:w="0" w:type="dxa"/>
            <w:bottom w:w="0" w:type="dxa"/>
          </w:tblCellMar>
        </w:tblPrEx>
        <w:trPr>
          <w:cantSplit/>
          <w:trHeight w:val="560"/>
        </w:trPr>
        <w:tc>
          <w:tcPr>
            <w:tcW w:w="700" w:type="dxa"/>
            <w:tcMar>
              <w:top w:w="0" w:type="dxa"/>
              <w:bottom w:w="0" w:type="dxa"/>
            </w:tcMar>
            <w:vAlign w:val="center"/>
          </w:tcPr>
          <w:p w14:paraId="4EDC3F96" w14:textId="77777777" w:rsidR="001539A9" w:rsidRDefault="00000000">
            <w:pPr>
              <w:keepNext/>
              <w:keepLines/>
              <w:spacing w:after="0" w:line="240" w:lineRule="auto"/>
            </w:pPr>
            <w:r>
              <w:rPr>
                <w:sz w:val="18"/>
              </w:rPr>
              <w:t>3295</w:t>
            </w:r>
          </w:p>
        </w:tc>
        <w:tc>
          <w:tcPr>
            <w:tcW w:w="3180" w:type="dxa"/>
            <w:tcMar>
              <w:top w:w="0" w:type="dxa"/>
              <w:bottom w:w="0" w:type="dxa"/>
            </w:tcMar>
            <w:vAlign w:val="center"/>
          </w:tcPr>
          <w:p w14:paraId="728049E9" w14:textId="77777777" w:rsidR="001539A9" w:rsidRDefault="00000000">
            <w:pPr>
              <w:keepNext/>
              <w:keepLines/>
              <w:spacing w:after="0" w:line="240" w:lineRule="auto"/>
            </w:pPr>
            <w:r>
              <w:rPr>
                <w:sz w:val="18"/>
              </w:rPr>
              <w:t>Pristojbe i naknade</w:t>
            </w:r>
          </w:p>
        </w:tc>
        <w:tc>
          <w:tcPr>
            <w:tcW w:w="700" w:type="dxa"/>
            <w:tcMar>
              <w:top w:w="0" w:type="dxa"/>
              <w:bottom w:w="0" w:type="dxa"/>
            </w:tcMar>
            <w:vAlign w:val="center"/>
          </w:tcPr>
          <w:p w14:paraId="3EA0697A" w14:textId="77777777" w:rsidR="001539A9" w:rsidRDefault="00000000">
            <w:pPr>
              <w:keepNext/>
              <w:keepLines/>
              <w:spacing w:after="0" w:line="240" w:lineRule="auto"/>
            </w:pPr>
            <w:r>
              <w:rPr>
                <w:sz w:val="18"/>
              </w:rPr>
              <w:t>3295</w:t>
            </w:r>
          </w:p>
        </w:tc>
        <w:tc>
          <w:tcPr>
            <w:tcW w:w="1860" w:type="dxa"/>
            <w:tcMar>
              <w:top w:w="0" w:type="dxa"/>
              <w:bottom w:w="0" w:type="dxa"/>
            </w:tcMar>
            <w:vAlign w:val="center"/>
          </w:tcPr>
          <w:p w14:paraId="2AFB54A6" w14:textId="77777777" w:rsidR="001539A9" w:rsidRDefault="00000000">
            <w:pPr>
              <w:keepNext/>
              <w:keepLines/>
              <w:spacing w:after="0" w:line="240" w:lineRule="auto"/>
              <w:jc w:val="right"/>
            </w:pPr>
            <w:r>
              <w:rPr>
                <w:sz w:val="18"/>
              </w:rPr>
              <w:t>213,76</w:t>
            </w:r>
          </w:p>
        </w:tc>
        <w:tc>
          <w:tcPr>
            <w:tcW w:w="1860" w:type="dxa"/>
            <w:tcMar>
              <w:top w:w="0" w:type="dxa"/>
              <w:bottom w:w="0" w:type="dxa"/>
            </w:tcMar>
            <w:vAlign w:val="center"/>
          </w:tcPr>
          <w:p w14:paraId="06EB2A4B" w14:textId="77777777" w:rsidR="001539A9" w:rsidRDefault="00000000">
            <w:pPr>
              <w:keepNext/>
              <w:keepLines/>
              <w:spacing w:after="0" w:line="240" w:lineRule="auto"/>
              <w:jc w:val="right"/>
            </w:pPr>
            <w:r>
              <w:rPr>
                <w:sz w:val="18"/>
              </w:rPr>
              <w:t>595,44</w:t>
            </w:r>
          </w:p>
        </w:tc>
        <w:tc>
          <w:tcPr>
            <w:tcW w:w="700" w:type="dxa"/>
            <w:tcMar>
              <w:top w:w="0" w:type="dxa"/>
              <w:bottom w:w="0" w:type="dxa"/>
            </w:tcMar>
            <w:vAlign w:val="center"/>
          </w:tcPr>
          <w:p w14:paraId="06C22563" w14:textId="77777777" w:rsidR="001539A9" w:rsidRDefault="00000000">
            <w:pPr>
              <w:keepNext/>
              <w:keepLines/>
              <w:spacing w:after="0" w:line="240" w:lineRule="auto"/>
              <w:jc w:val="right"/>
            </w:pPr>
            <w:r>
              <w:rPr>
                <w:sz w:val="18"/>
              </w:rPr>
              <w:t>278,6</w:t>
            </w:r>
          </w:p>
        </w:tc>
      </w:tr>
    </w:tbl>
    <w:p w14:paraId="4BD25497" w14:textId="77777777" w:rsidR="001539A9" w:rsidRDefault="001539A9">
      <w:pPr>
        <w:spacing w:after="0"/>
      </w:pPr>
    </w:p>
    <w:p w14:paraId="5F03FD1F" w14:textId="77777777" w:rsidR="001539A9" w:rsidRDefault="00000000">
      <w:r>
        <w:t> Pristojbe i naknade su se povećala sa 213,76 eura na 595,44 eura, a razlog povećanja je obveza plaćanja naknade za nezapošljavanje osoba s invaliditetom jer nam se tijekom dva mjeseca broj zaposlenika povećao na 20.</w:t>
      </w:r>
    </w:p>
    <w:p w14:paraId="3712670D" w14:textId="77777777" w:rsidR="001539A9" w:rsidRDefault="001539A9"/>
    <w:p w14:paraId="580840ED" w14:textId="77777777" w:rsidR="001539A9"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A699B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FB0D1"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1F3145"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B1FAC3"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EDC463"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93D0A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7489E" w14:textId="77777777" w:rsidR="001539A9" w:rsidRDefault="00000000">
            <w:pPr>
              <w:keepNext/>
              <w:keepLines/>
              <w:spacing w:after="0" w:line="240" w:lineRule="auto"/>
              <w:jc w:val="center"/>
            </w:pPr>
            <w:r>
              <w:rPr>
                <w:b/>
                <w:sz w:val="18"/>
              </w:rPr>
              <w:t>Indeks (%)</w:t>
            </w:r>
          </w:p>
        </w:tc>
      </w:tr>
      <w:tr w:rsidR="001539A9" w14:paraId="332466A2" w14:textId="77777777">
        <w:tblPrEx>
          <w:tblCellMar>
            <w:top w:w="0" w:type="dxa"/>
            <w:bottom w:w="0" w:type="dxa"/>
          </w:tblCellMar>
        </w:tblPrEx>
        <w:trPr>
          <w:cantSplit/>
          <w:trHeight w:val="560"/>
        </w:trPr>
        <w:tc>
          <w:tcPr>
            <w:tcW w:w="700" w:type="dxa"/>
            <w:tcMar>
              <w:top w:w="0" w:type="dxa"/>
              <w:bottom w:w="0" w:type="dxa"/>
            </w:tcMar>
            <w:vAlign w:val="center"/>
          </w:tcPr>
          <w:p w14:paraId="60836AB7" w14:textId="77777777" w:rsidR="001539A9" w:rsidRDefault="001539A9">
            <w:pPr>
              <w:keepNext/>
              <w:keepLines/>
              <w:spacing w:after="0" w:line="240" w:lineRule="auto"/>
            </w:pPr>
          </w:p>
        </w:tc>
        <w:tc>
          <w:tcPr>
            <w:tcW w:w="3180" w:type="dxa"/>
            <w:tcMar>
              <w:top w:w="0" w:type="dxa"/>
              <w:bottom w:w="0" w:type="dxa"/>
            </w:tcMar>
            <w:vAlign w:val="center"/>
          </w:tcPr>
          <w:p w14:paraId="2CA1CD6B" w14:textId="77777777" w:rsidR="001539A9"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56523AAA" w14:textId="77777777" w:rsidR="001539A9" w:rsidRDefault="00000000">
            <w:pPr>
              <w:keepNext/>
              <w:keepLines/>
              <w:spacing w:after="0" w:line="240" w:lineRule="auto"/>
            </w:pPr>
            <w:r>
              <w:rPr>
                <w:sz w:val="18"/>
              </w:rPr>
              <w:t>Y001</w:t>
            </w:r>
          </w:p>
        </w:tc>
        <w:tc>
          <w:tcPr>
            <w:tcW w:w="1860" w:type="dxa"/>
            <w:tcMar>
              <w:top w:w="0" w:type="dxa"/>
              <w:bottom w:w="0" w:type="dxa"/>
            </w:tcMar>
            <w:vAlign w:val="center"/>
          </w:tcPr>
          <w:p w14:paraId="2BA17FD3"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6DB182FD" w14:textId="77777777" w:rsidR="001539A9" w:rsidRDefault="00000000">
            <w:pPr>
              <w:keepNext/>
              <w:keepLines/>
              <w:spacing w:after="0" w:line="240" w:lineRule="auto"/>
              <w:jc w:val="right"/>
            </w:pPr>
            <w:r>
              <w:rPr>
                <w:sz w:val="18"/>
              </w:rPr>
              <w:t>43.733,45</w:t>
            </w:r>
          </w:p>
        </w:tc>
        <w:tc>
          <w:tcPr>
            <w:tcW w:w="700" w:type="dxa"/>
            <w:tcMar>
              <w:top w:w="0" w:type="dxa"/>
              <w:bottom w:w="0" w:type="dxa"/>
            </w:tcMar>
            <w:vAlign w:val="center"/>
          </w:tcPr>
          <w:p w14:paraId="4DFB0CBC" w14:textId="77777777" w:rsidR="001539A9" w:rsidRDefault="00000000">
            <w:pPr>
              <w:keepNext/>
              <w:keepLines/>
              <w:spacing w:after="0" w:line="240" w:lineRule="auto"/>
              <w:jc w:val="right"/>
            </w:pPr>
            <w:r>
              <w:rPr>
                <w:sz w:val="18"/>
              </w:rPr>
              <w:t>-</w:t>
            </w:r>
          </w:p>
        </w:tc>
      </w:tr>
    </w:tbl>
    <w:p w14:paraId="168222A1" w14:textId="77777777" w:rsidR="001539A9" w:rsidRDefault="001539A9">
      <w:pPr>
        <w:spacing w:after="0"/>
      </w:pPr>
    </w:p>
    <w:p w14:paraId="197742CC" w14:textId="77777777" w:rsidR="001539A9" w:rsidRDefault="00000000">
      <w:r>
        <w:t>Manjak prihoda poslovanja od 43.733,45 eura nastao je kao posljedica metodologije knjiženja u sustavu riznice. Rashod za plaće knjiži se u razdoblju na koje se odnosi obračun plaće, dok se prihod koji pokriva navedeni rashod evidentira tek po primitku izvoda o izvršenoj isplati, koji se zaprima nakon 1. siječnja sljedeće proračunske godine.</w:t>
      </w:r>
    </w:p>
    <w:p w14:paraId="0F4A4A74" w14:textId="77777777" w:rsidR="001539A9" w:rsidRDefault="001539A9"/>
    <w:p w14:paraId="3016FC6A" w14:textId="77777777" w:rsidR="001539A9"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D14A2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E31C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916E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18EBE"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DC040"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53E0D"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A5AA7" w14:textId="77777777" w:rsidR="001539A9" w:rsidRDefault="00000000">
            <w:pPr>
              <w:keepNext/>
              <w:keepLines/>
              <w:spacing w:after="0" w:line="240" w:lineRule="auto"/>
              <w:jc w:val="center"/>
            </w:pPr>
            <w:r>
              <w:rPr>
                <w:b/>
                <w:sz w:val="18"/>
              </w:rPr>
              <w:t>Indeks (%)</w:t>
            </w:r>
          </w:p>
        </w:tc>
      </w:tr>
      <w:tr w:rsidR="001539A9" w14:paraId="2712D6E2" w14:textId="77777777">
        <w:tblPrEx>
          <w:tblCellMar>
            <w:top w:w="0" w:type="dxa"/>
            <w:bottom w:w="0" w:type="dxa"/>
          </w:tblCellMar>
        </w:tblPrEx>
        <w:trPr>
          <w:cantSplit/>
          <w:trHeight w:val="560"/>
        </w:trPr>
        <w:tc>
          <w:tcPr>
            <w:tcW w:w="700" w:type="dxa"/>
            <w:tcMar>
              <w:top w:w="0" w:type="dxa"/>
              <w:bottom w:w="0" w:type="dxa"/>
            </w:tcMar>
            <w:vAlign w:val="center"/>
          </w:tcPr>
          <w:p w14:paraId="2B985C21" w14:textId="77777777" w:rsidR="001539A9" w:rsidRDefault="00000000">
            <w:pPr>
              <w:keepNext/>
              <w:keepLines/>
              <w:spacing w:after="0" w:line="240" w:lineRule="auto"/>
            </w:pPr>
            <w:r>
              <w:rPr>
                <w:sz w:val="18"/>
              </w:rPr>
              <w:t>92211</w:t>
            </w:r>
          </w:p>
        </w:tc>
        <w:tc>
          <w:tcPr>
            <w:tcW w:w="3180" w:type="dxa"/>
            <w:tcMar>
              <w:top w:w="0" w:type="dxa"/>
              <w:bottom w:w="0" w:type="dxa"/>
            </w:tcMar>
            <w:vAlign w:val="center"/>
          </w:tcPr>
          <w:p w14:paraId="0F132E51" w14:textId="77777777" w:rsidR="001539A9"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6DE4821C" w14:textId="77777777" w:rsidR="001539A9" w:rsidRDefault="00000000">
            <w:pPr>
              <w:keepNext/>
              <w:keepLines/>
              <w:spacing w:after="0" w:line="240" w:lineRule="auto"/>
            </w:pPr>
            <w:r>
              <w:rPr>
                <w:sz w:val="18"/>
              </w:rPr>
              <w:t>92211</w:t>
            </w:r>
          </w:p>
        </w:tc>
        <w:tc>
          <w:tcPr>
            <w:tcW w:w="1860" w:type="dxa"/>
            <w:tcMar>
              <w:top w:w="0" w:type="dxa"/>
              <w:bottom w:w="0" w:type="dxa"/>
            </w:tcMar>
            <w:vAlign w:val="center"/>
          </w:tcPr>
          <w:p w14:paraId="72605E36"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760B2923" w14:textId="77777777" w:rsidR="001539A9" w:rsidRDefault="00000000">
            <w:pPr>
              <w:keepNext/>
              <w:keepLines/>
              <w:spacing w:after="0" w:line="240" w:lineRule="auto"/>
              <w:jc w:val="right"/>
            </w:pPr>
            <w:r>
              <w:rPr>
                <w:sz w:val="18"/>
              </w:rPr>
              <w:t>1.268,63</w:t>
            </w:r>
          </w:p>
        </w:tc>
        <w:tc>
          <w:tcPr>
            <w:tcW w:w="700" w:type="dxa"/>
            <w:tcMar>
              <w:top w:w="0" w:type="dxa"/>
              <w:bottom w:w="0" w:type="dxa"/>
            </w:tcMar>
            <w:vAlign w:val="center"/>
          </w:tcPr>
          <w:p w14:paraId="253616BB" w14:textId="77777777" w:rsidR="001539A9" w:rsidRDefault="00000000">
            <w:pPr>
              <w:keepNext/>
              <w:keepLines/>
              <w:spacing w:after="0" w:line="240" w:lineRule="auto"/>
              <w:jc w:val="right"/>
            </w:pPr>
            <w:r>
              <w:rPr>
                <w:sz w:val="18"/>
              </w:rPr>
              <w:t>-</w:t>
            </w:r>
          </w:p>
        </w:tc>
      </w:tr>
    </w:tbl>
    <w:p w14:paraId="18CA5281" w14:textId="77777777" w:rsidR="001539A9" w:rsidRDefault="001539A9">
      <w:pPr>
        <w:spacing w:after="0"/>
      </w:pPr>
    </w:p>
    <w:p w14:paraId="24CBCD65" w14:textId="77777777" w:rsidR="001539A9" w:rsidRDefault="00000000">
      <w:r>
        <w:t>Preneseni višak prihoda poslovanja od 1.268,63 eura odnosi se na višak prihoda iz vlastitih izvora koji je u potpunosti utrošen u 2025. godini.</w:t>
      </w:r>
    </w:p>
    <w:p w14:paraId="39936DD0" w14:textId="77777777" w:rsidR="001539A9" w:rsidRDefault="001539A9"/>
    <w:p w14:paraId="67E8A166" w14:textId="77777777" w:rsidR="001539A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801E0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84A1E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448260"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A53BA"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AB88C"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06B2A0"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F44DE" w14:textId="77777777" w:rsidR="001539A9" w:rsidRDefault="00000000">
            <w:pPr>
              <w:keepNext/>
              <w:keepLines/>
              <w:spacing w:after="0" w:line="240" w:lineRule="auto"/>
              <w:jc w:val="center"/>
            </w:pPr>
            <w:r>
              <w:rPr>
                <w:b/>
                <w:sz w:val="18"/>
              </w:rPr>
              <w:t>Indeks (%)</w:t>
            </w:r>
          </w:p>
        </w:tc>
      </w:tr>
      <w:tr w:rsidR="001539A9" w14:paraId="3C5C62D2" w14:textId="77777777">
        <w:tblPrEx>
          <w:tblCellMar>
            <w:top w:w="0" w:type="dxa"/>
            <w:bottom w:w="0" w:type="dxa"/>
          </w:tblCellMar>
        </w:tblPrEx>
        <w:trPr>
          <w:cantSplit/>
          <w:trHeight w:val="560"/>
        </w:trPr>
        <w:tc>
          <w:tcPr>
            <w:tcW w:w="700" w:type="dxa"/>
            <w:tcMar>
              <w:top w:w="0" w:type="dxa"/>
              <w:bottom w:w="0" w:type="dxa"/>
            </w:tcMar>
            <w:vAlign w:val="center"/>
          </w:tcPr>
          <w:p w14:paraId="1B1F9E20" w14:textId="77777777" w:rsidR="001539A9" w:rsidRDefault="00000000">
            <w:pPr>
              <w:keepNext/>
              <w:keepLines/>
              <w:spacing w:after="0" w:line="240" w:lineRule="auto"/>
            </w:pPr>
            <w:r>
              <w:rPr>
                <w:sz w:val="18"/>
              </w:rPr>
              <w:t>4</w:t>
            </w:r>
          </w:p>
        </w:tc>
        <w:tc>
          <w:tcPr>
            <w:tcW w:w="3180" w:type="dxa"/>
            <w:tcMar>
              <w:top w:w="0" w:type="dxa"/>
              <w:bottom w:w="0" w:type="dxa"/>
            </w:tcMar>
            <w:vAlign w:val="center"/>
          </w:tcPr>
          <w:p w14:paraId="2701EEEB" w14:textId="77777777" w:rsidR="001539A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037772E" w14:textId="77777777" w:rsidR="001539A9" w:rsidRDefault="00000000">
            <w:pPr>
              <w:keepNext/>
              <w:keepLines/>
              <w:spacing w:after="0" w:line="240" w:lineRule="auto"/>
            </w:pPr>
            <w:r>
              <w:rPr>
                <w:sz w:val="18"/>
              </w:rPr>
              <w:t>4</w:t>
            </w:r>
          </w:p>
        </w:tc>
        <w:tc>
          <w:tcPr>
            <w:tcW w:w="1860" w:type="dxa"/>
            <w:tcMar>
              <w:top w:w="0" w:type="dxa"/>
              <w:bottom w:w="0" w:type="dxa"/>
            </w:tcMar>
            <w:vAlign w:val="center"/>
          </w:tcPr>
          <w:p w14:paraId="3AE3CFF7"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50AE0FAB" w14:textId="77777777" w:rsidR="001539A9" w:rsidRDefault="00000000">
            <w:pPr>
              <w:keepNext/>
              <w:keepLines/>
              <w:spacing w:after="0" w:line="240" w:lineRule="auto"/>
              <w:jc w:val="right"/>
            </w:pPr>
            <w:r>
              <w:rPr>
                <w:sz w:val="18"/>
              </w:rPr>
              <w:t>13.806,25</w:t>
            </w:r>
          </w:p>
        </w:tc>
        <w:tc>
          <w:tcPr>
            <w:tcW w:w="700" w:type="dxa"/>
            <w:tcMar>
              <w:top w:w="0" w:type="dxa"/>
              <w:bottom w:w="0" w:type="dxa"/>
            </w:tcMar>
            <w:vAlign w:val="center"/>
          </w:tcPr>
          <w:p w14:paraId="409C0443" w14:textId="77777777" w:rsidR="001539A9" w:rsidRDefault="00000000">
            <w:pPr>
              <w:keepNext/>
              <w:keepLines/>
              <w:spacing w:after="0" w:line="240" w:lineRule="auto"/>
              <w:jc w:val="right"/>
            </w:pPr>
            <w:r>
              <w:rPr>
                <w:sz w:val="18"/>
              </w:rPr>
              <w:t>299,2</w:t>
            </w:r>
          </w:p>
        </w:tc>
      </w:tr>
    </w:tbl>
    <w:p w14:paraId="3F47DC05" w14:textId="77777777" w:rsidR="001539A9" w:rsidRDefault="001539A9">
      <w:pPr>
        <w:spacing w:after="0"/>
      </w:pPr>
    </w:p>
    <w:p w14:paraId="42D07B77" w14:textId="77777777" w:rsidR="001539A9" w:rsidRDefault="00000000">
      <w:r>
        <w:t>Rashodi za nabavu nefinancijske imovine odnose se na uredsku opremu i namještaj (šifra 4221) te na uređaje, strojeve i opremu za ostale namjene (šifra 4227).</w:t>
      </w:r>
    </w:p>
    <w:p w14:paraId="531D614A" w14:textId="77777777" w:rsidR="001539A9" w:rsidRDefault="001539A9"/>
    <w:p w14:paraId="292A44A7" w14:textId="77777777" w:rsidR="001539A9"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4BEB7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87C4E"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59AAB"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6B8642"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A80A6"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F61EA6"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027E93" w14:textId="77777777" w:rsidR="001539A9" w:rsidRDefault="00000000">
            <w:pPr>
              <w:keepNext/>
              <w:keepLines/>
              <w:spacing w:after="0" w:line="240" w:lineRule="auto"/>
              <w:jc w:val="center"/>
            </w:pPr>
            <w:r>
              <w:rPr>
                <w:b/>
                <w:sz w:val="18"/>
              </w:rPr>
              <w:t>Indeks (%)</w:t>
            </w:r>
          </w:p>
        </w:tc>
      </w:tr>
      <w:tr w:rsidR="001539A9" w14:paraId="7681D12C" w14:textId="77777777">
        <w:tblPrEx>
          <w:tblCellMar>
            <w:top w:w="0" w:type="dxa"/>
            <w:bottom w:w="0" w:type="dxa"/>
          </w:tblCellMar>
        </w:tblPrEx>
        <w:trPr>
          <w:cantSplit/>
          <w:trHeight w:val="560"/>
        </w:trPr>
        <w:tc>
          <w:tcPr>
            <w:tcW w:w="700" w:type="dxa"/>
            <w:tcMar>
              <w:top w:w="0" w:type="dxa"/>
              <w:bottom w:w="0" w:type="dxa"/>
            </w:tcMar>
            <w:vAlign w:val="center"/>
          </w:tcPr>
          <w:p w14:paraId="53814BE8" w14:textId="77777777" w:rsidR="001539A9" w:rsidRDefault="00000000">
            <w:pPr>
              <w:keepNext/>
              <w:keepLines/>
              <w:spacing w:after="0" w:line="240" w:lineRule="auto"/>
            </w:pPr>
            <w:r>
              <w:rPr>
                <w:sz w:val="18"/>
              </w:rPr>
              <w:t>4221</w:t>
            </w:r>
          </w:p>
        </w:tc>
        <w:tc>
          <w:tcPr>
            <w:tcW w:w="3180" w:type="dxa"/>
            <w:tcMar>
              <w:top w:w="0" w:type="dxa"/>
              <w:bottom w:w="0" w:type="dxa"/>
            </w:tcMar>
            <w:vAlign w:val="center"/>
          </w:tcPr>
          <w:p w14:paraId="2249E98F" w14:textId="77777777" w:rsidR="001539A9"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0891EA78" w14:textId="77777777" w:rsidR="001539A9" w:rsidRDefault="00000000">
            <w:pPr>
              <w:keepNext/>
              <w:keepLines/>
              <w:spacing w:after="0" w:line="240" w:lineRule="auto"/>
            </w:pPr>
            <w:r>
              <w:rPr>
                <w:sz w:val="18"/>
              </w:rPr>
              <w:t>4221</w:t>
            </w:r>
          </w:p>
        </w:tc>
        <w:tc>
          <w:tcPr>
            <w:tcW w:w="1860" w:type="dxa"/>
            <w:tcMar>
              <w:top w:w="0" w:type="dxa"/>
              <w:bottom w:w="0" w:type="dxa"/>
            </w:tcMar>
            <w:vAlign w:val="center"/>
          </w:tcPr>
          <w:p w14:paraId="60DCB710"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0E67C6DE" w14:textId="77777777" w:rsidR="001539A9" w:rsidRDefault="00000000">
            <w:pPr>
              <w:keepNext/>
              <w:keepLines/>
              <w:spacing w:after="0" w:line="240" w:lineRule="auto"/>
              <w:jc w:val="right"/>
            </w:pPr>
            <w:r>
              <w:rPr>
                <w:sz w:val="18"/>
              </w:rPr>
              <w:t>7.890,00</w:t>
            </w:r>
          </w:p>
        </w:tc>
        <w:tc>
          <w:tcPr>
            <w:tcW w:w="700" w:type="dxa"/>
            <w:tcMar>
              <w:top w:w="0" w:type="dxa"/>
              <w:bottom w:w="0" w:type="dxa"/>
            </w:tcMar>
            <w:vAlign w:val="center"/>
          </w:tcPr>
          <w:p w14:paraId="3E44F543" w14:textId="77777777" w:rsidR="001539A9" w:rsidRDefault="00000000">
            <w:pPr>
              <w:keepNext/>
              <w:keepLines/>
              <w:spacing w:after="0" w:line="240" w:lineRule="auto"/>
              <w:jc w:val="right"/>
            </w:pPr>
            <w:r>
              <w:rPr>
                <w:sz w:val="18"/>
              </w:rPr>
              <w:t>171,0</w:t>
            </w:r>
          </w:p>
        </w:tc>
      </w:tr>
    </w:tbl>
    <w:p w14:paraId="6D4269E9" w14:textId="77777777" w:rsidR="001539A9" w:rsidRDefault="001539A9">
      <w:pPr>
        <w:spacing w:after="0"/>
      </w:pPr>
    </w:p>
    <w:p w14:paraId="27E60343" w14:textId="77777777" w:rsidR="001539A9" w:rsidRDefault="00000000">
      <w:r>
        <w:t xml:space="preserve">Rashodi za uredsku opremu i namještaj povećani su za 71%, a odnose se na kupovinu 6 uredskih stolica zbog dotrajalosti starih, dva radna stola i ladičar zbog povratka djelatnica s </w:t>
      </w:r>
      <w:r>
        <w:lastRenderedPageBreak/>
        <w:t>roditeljskog dopusta, a koji su nam ranije nedostajali te na 6 prijenosnih računala i 3 nova monitora.</w:t>
      </w:r>
    </w:p>
    <w:p w14:paraId="3E17DF4E" w14:textId="77777777" w:rsidR="001539A9" w:rsidRDefault="001539A9"/>
    <w:p w14:paraId="34DE957E" w14:textId="77777777" w:rsidR="001539A9"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350E9F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19DAA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E68812"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EEBFD"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B00D65"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EB649"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A3B2C9" w14:textId="77777777" w:rsidR="001539A9" w:rsidRDefault="00000000">
            <w:pPr>
              <w:keepNext/>
              <w:keepLines/>
              <w:spacing w:after="0" w:line="240" w:lineRule="auto"/>
              <w:jc w:val="center"/>
            </w:pPr>
            <w:r>
              <w:rPr>
                <w:b/>
                <w:sz w:val="18"/>
              </w:rPr>
              <w:t>Indeks (%)</w:t>
            </w:r>
          </w:p>
        </w:tc>
      </w:tr>
      <w:tr w:rsidR="001539A9" w14:paraId="7BB3B4D5" w14:textId="77777777">
        <w:tblPrEx>
          <w:tblCellMar>
            <w:top w:w="0" w:type="dxa"/>
            <w:bottom w:w="0" w:type="dxa"/>
          </w:tblCellMar>
        </w:tblPrEx>
        <w:trPr>
          <w:cantSplit/>
          <w:trHeight w:val="560"/>
        </w:trPr>
        <w:tc>
          <w:tcPr>
            <w:tcW w:w="700" w:type="dxa"/>
            <w:tcMar>
              <w:top w:w="0" w:type="dxa"/>
              <w:bottom w:w="0" w:type="dxa"/>
            </w:tcMar>
            <w:vAlign w:val="center"/>
          </w:tcPr>
          <w:p w14:paraId="0D0C294A" w14:textId="77777777" w:rsidR="001539A9" w:rsidRDefault="00000000">
            <w:pPr>
              <w:keepNext/>
              <w:keepLines/>
              <w:spacing w:after="0" w:line="240" w:lineRule="auto"/>
            </w:pPr>
            <w:r>
              <w:rPr>
                <w:sz w:val="18"/>
              </w:rPr>
              <w:t>4227</w:t>
            </w:r>
          </w:p>
        </w:tc>
        <w:tc>
          <w:tcPr>
            <w:tcW w:w="3180" w:type="dxa"/>
            <w:tcMar>
              <w:top w:w="0" w:type="dxa"/>
              <w:bottom w:w="0" w:type="dxa"/>
            </w:tcMar>
            <w:vAlign w:val="center"/>
          </w:tcPr>
          <w:p w14:paraId="2698A46C" w14:textId="77777777" w:rsidR="001539A9"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8E880FA" w14:textId="77777777" w:rsidR="001539A9" w:rsidRDefault="00000000">
            <w:pPr>
              <w:keepNext/>
              <w:keepLines/>
              <w:spacing w:after="0" w:line="240" w:lineRule="auto"/>
            </w:pPr>
            <w:r>
              <w:rPr>
                <w:sz w:val="18"/>
              </w:rPr>
              <w:t>4227</w:t>
            </w:r>
          </w:p>
        </w:tc>
        <w:tc>
          <w:tcPr>
            <w:tcW w:w="1860" w:type="dxa"/>
            <w:tcMar>
              <w:top w:w="0" w:type="dxa"/>
              <w:bottom w:w="0" w:type="dxa"/>
            </w:tcMar>
            <w:vAlign w:val="center"/>
          </w:tcPr>
          <w:p w14:paraId="1AA8C413"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5776CACB" w14:textId="77777777" w:rsidR="001539A9" w:rsidRDefault="00000000">
            <w:pPr>
              <w:keepNext/>
              <w:keepLines/>
              <w:spacing w:after="0" w:line="240" w:lineRule="auto"/>
              <w:jc w:val="right"/>
            </w:pPr>
            <w:r>
              <w:rPr>
                <w:sz w:val="18"/>
              </w:rPr>
              <w:t>5.916,25</w:t>
            </w:r>
          </w:p>
        </w:tc>
        <w:tc>
          <w:tcPr>
            <w:tcW w:w="700" w:type="dxa"/>
            <w:tcMar>
              <w:top w:w="0" w:type="dxa"/>
              <w:bottom w:w="0" w:type="dxa"/>
            </w:tcMar>
            <w:vAlign w:val="center"/>
          </w:tcPr>
          <w:p w14:paraId="034EA8F0" w14:textId="77777777" w:rsidR="001539A9" w:rsidRDefault="00000000">
            <w:pPr>
              <w:keepNext/>
              <w:keepLines/>
              <w:spacing w:after="0" w:line="240" w:lineRule="auto"/>
              <w:jc w:val="right"/>
            </w:pPr>
            <w:r>
              <w:rPr>
                <w:sz w:val="18"/>
              </w:rPr>
              <w:t>-</w:t>
            </w:r>
          </w:p>
        </w:tc>
      </w:tr>
    </w:tbl>
    <w:p w14:paraId="382D51AF" w14:textId="77777777" w:rsidR="001539A9" w:rsidRDefault="001539A9">
      <w:pPr>
        <w:spacing w:after="0"/>
      </w:pPr>
    </w:p>
    <w:p w14:paraId="3DA36C2F" w14:textId="77777777" w:rsidR="001539A9" w:rsidRDefault="00000000">
      <w:r>
        <w:t>Rashodi uređaja, strojeva i opreme za ostale namjene iznose 5.916,25 eura, dok u prethodnom razdoblju tog rashoda nije bilo. Naime, u novim prostorima u koje se Agencija preselila, uređena je prostorija za arhiv opremljena metalnim policama u vrijednosti 2.950,00 eura te je ugrađen sustav za kontrolu pristupa u vrijednosti 2.966,25 eura.</w:t>
      </w:r>
    </w:p>
    <w:p w14:paraId="417A1719" w14:textId="77777777" w:rsidR="001539A9" w:rsidRDefault="001539A9"/>
    <w:p w14:paraId="03D4F3A0" w14:textId="77777777" w:rsidR="001539A9"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76F50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92F6E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17A59B"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391E66"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5008E4"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20ADD"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1799AC" w14:textId="77777777" w:rsidR="001539A9" w:rsidRDefault="00000000">
            <w:pPr>
              <w:keepNext/>
              <w:keepLines/>
              <w:spacing w:after="0" w:line="240" w:lineRule="auto"/>
              <w:jc w:val="center"/>
            </w:pPr>
            <w:r>
              <w:rPr>
                <w:b/>
                <w:sz w:val="18"/>
              </w:rPr>
              <w:t>Indeks (%)</w:t>
            </w:r>
          </w:p>
        </w:tc>
      </w:tr>
      <w:tr w:rsidR="001539A9" w14:paraId="4F8CFC8F" w14:textId="77777777">
        <w:tblPrEx>
          <w:tblCellMar>
            <w:top w:w="0" w:type="dxa"/>
            <w:bottom w:w="0" w:type="dxa"/>
          </w:tblCellMar>
        </w:tblPrEx>
        <w:trPr>
          <w:cantSplit/>
          <w:trHeight w:val="560"/>
        </w:trPr>
        <w:tc>
          <w:tcPr>
            <w:tcW w:w="700" w:type="dxa"/>
            <w:tcMar>
              <w:top w:w="0" w:type="dxa"/>
              <w:bottom w:w="0" w:type="dxa"/>
            </w:tcMar>
            <w:vAlign w:val="center"/>
          </w:tcPr>
          <w:p w14:paraId="045FB4A9" w14:textId="77777777" w:rsidR="001539A9" w:rsidRDefault="001539A9">
            <w:pPr>
              <w:keepNext/>
              <w:keepLines/>
              <w:spacing w:after="0" w:line="240" w:lineRule="auto"/>
            </w:pPr>
          </w:p>
        </w:tc>
        <w:tc>
          <w:tcPr>
            <w:tcW w:w="3180" w:type="dxa"/>
            <w:tcMar>
              <w:top w:w="0" w:type="dxa"/>
              <w:bottom w:w="0" w:type="dxa"/>
            </w:tcMar>
            <w:vAlign w:val="center"/>
          </w:tcPr>
          <w:p w14:paraId="66A25D15" w14:textId="77777777" w:rsidR="001539A9"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7DD9D67A" w14:textId="77777777" w:rsidR="001539A9" w:rsidRDefault="00000000">
            <w:pPr>
              <w:keepNext/>
              <w:keepLines/>
              <w:spacing w:after="0" w:line="240" w:lineRule="auto"/>
            </w:pPr>
            <w:r>
              <w:rPr>
                <w:sz w:val="18"/>
              </w:rPr>
              <w:t>Y002</w:t>
            </w:r>
          </w:p>
        </w:tc>
        <w:tc>
          <w:tcPr>
            <w:tcW w:w="1860" w:type="dxa"/>
            <w:tcMar>
              <w:top w:w="0" w:type="dxa"/>
              <w:bottom w:w="0" w:type="dxa"/>
            </w:tcMar>
            <w:vAlign w:val="center"/>
          </w:tcPr>
          <w:p w14:paraId="2905FD15"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65CAE4B8" w14:textId="77777777" w:rsidR="001539A9" w:rsidRDefault="00000000">
            <w:pPr>
              <w:keepNext/>
              <w:keepLines/>
              <w:spacing w:after="0" w:line="240" w:lineRule="auto"/>
              <w:jc w:val="right"/>
            </w:pPr>
            <w:r>
              <w:rPr>
                <w:sz w:val="18"/>
              </w:rPr>
              <w:t>13.806,25</w:t>
            </w:r>
          </w:p>
        </w:tc>
        <w:tc>
          <w:tcPr>
            <w:tcW w:w="700" w:type="dxa"/>
            <w:tcMar>
              <w:top w:w="0" w:type="dxa"/>
              <w:bottom w:w="0" w:type="dxa"/>
            </w:tcMar>
            <w:vAlign w:val="center"/>
          </w:tcPr>
          <w:p w14:paraId="33B55BBC" w14:textId="77777777" w:rsidR="001539A9" w:rsidRDefault="00000000">
            <w:pPr>
              <w:keepNext/>
              <w:keepLines/>
              <w:spacing w:after="0" w:line="240" w:lineRule="auto"/>
              <w:jc w:val="right"/>
            </w:pPr>
            <w:r>
              <w:rPr>
                <w:sz w:val="18"/>
              </w:rPr>
              <w:t>299,2</w:t>
            </w:r>
          </w:p>
        </w:tc>
      </w:tr>
    </w:tbl>
    <w:p w14:paraId="6EC1DBCE" w14:textId="77777777" w:rsidR="001539A9" w:rsidRDefault="001539A9">
      <w:pPr>
        <w:spacing w:after="0"/>
      </w:pPr>
    </w:p>
    <w:p w14:paraId="1E1A5038" w14:textId="77777777" w:rsidR="001539A9" w:rsidRDefault="00000000">
      <w:r>
        <w:t>Manjak prihoda od nefinancijske imovine povećan je u odnosu na prethodnu godinu zbog većih rashoda za nabavu nefinancijske imovine, dok istovremeno prihodi od prodaje nefinancijske imovine ne postoje.</w:t>
      </w:r>
    </w:p>
    <w:p w14:paraId="72843AD9" w14:textId="77777777" w:rsidR="001539A9" w:rsidRDefault="001539A9"/>
    <w:p w14:paraId="55D2941C" w14:textId="77777777" w:rsidR="001539A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6EF00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8EAF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ABA634"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13FEDE"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56CA8"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632FC"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9ED21B" w14:textId="77777777" w:rsidR="001539A9" w:rsidRDefault="00000000">
            <w:pPr>
              <w:keepNext/>
              <w:keepLines/>
              <w:spacing w:after="0" w:line="240" w:lineRule="auto"/>
              <w:jc w:val="center"/>
            </w:pPr>
            <w:r>
              <w:rPr>
                <w:b/>
                <w:sz w:val="18"/>
              </w:rPr>
              <w:t>Indeks (%)</w:t>
            </w:r>
          </w:p>
        </w:tc>
      </w:tr>
      <w:tr w:rsidR="001539A9" w14:paraId="295E366D" w14:textId="77777777">
        <w:tblPrEx>
          <w:tblCellMar>
            <w:top w:w="0" w:type="dxa"/>
            <w:bottom w:w="0" w:type="dxa"/>
          </w:tblCellMar>
        </w:tblPrEx>
        <w:trPr>
          <w:cantSplit/>
          <w:trHeight w:val="560"/>
        </w:trPr>
        <w:tc>
          <w:tcPr>
            <w:tcW w:w="700" w:type="dxa"/>
            <w:tcMar>
              <w:top w:w="0" w:type="dxa"/>
              <w:bottom w:w="0" w:type="dxa"/>
            </w:tcMar>
            <w:vAlign w:val="center"/>
          </w:tcPr>
          <w:p w14:paraId="79E556F7" w14:textId="77777777" w:rsidR="001539A9" w:rsidRDefault="001539A9">
            <w:pPr>
              <w:keepNext/>
              <w:keepLines/>
              <w:spacing w:after="0" w:line="240" w:lineRule="auto"/>
            </w:pPr>
          </w:p>
        </w:tc>
        <w:tc>
          <w:tcPr>
            <w:tcW w:w="3180" w:type="dxa"/>
            <w:tcMar>
              <w:top w:w="0" w:type="dxa"/>
              <w:bottom w:w="0" w:type="dxa"/>
            </w:tcMar>
            <w:vAlign w:val="center"/>
          </w:tcPr>
          <w:p w14:paraId="6E464587" w14:textId="77777777" w:rsidR="001539A9"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18E6395E" w14:textId="77777777" w:rsidR="001539A9" w:rsidRDefault="00000000">
            <w:pPr>
              <w:keepNext/>
              <w:keepLines/>
              <w:spacing w:after="0" w:line="240" w:lineRule="auto"/>
            </w:pPr>
            <w:r>
              <w:rPr>
                <w:sz w:val="18"/>
              </w:rPr>
              <w:t>Y004</w:t>
            </w:r>
          </w:p>
        </w:tc>
        <w:tc>
          <w:tcPr>
            <w:tcW w:w="1860" w:type="dxa"/>
            <w:tcMar>
              <w:top w:w="0" w:type="dxa"/>
              <w:bottom w:w="0" w:type="dxa"/>
            </w:tcMar>
            <w:vAlign w:val="center"/>
          </w:tcPr>
          <w:p w14:paraId="53337F39"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79A490C2" w14:textId="77777777" w:rsidR="001539A9" w:rsidRDefault="00000000">
            <w:pPr>
              <w:keepNext/>
              <w:keepLines/>
              <w:spacing w:after="0" w:line="240" w:lineRule="auto"/>
              <w:jc w:val="right"/>
            </w:pPr>
            <w:r>
              <w:rPr>
                <w:sz w:val="18"/>
              </w:rPr>
              <w:t>57.539,70</w:t>
            </w:r>
          </w:p>
        </w:tc>
        <w:tc>
          <w:tcPr>
            <w:tcW w:w="700" w:type="dxa"/>
            <w:tcMar>
              <w:top w:w="0" w:type="dxa"/>
              <w:bottom w:w="0" w:type="dxa"/>
            </w:tcMar>
            <w:vAlign w:val="center"/>
          </w:tcPr>
          <w:p w14:paraId="395267A0" w14:textId="77777777" w:rsidR="001539A9" w:rsidRDefault="00000000">
            <w:pPr>
              <w:keepNext/>
              <w:keepLines/>
              <w:spacing w:after="0" w:line="240" w:lineRule="auto"/>
              <w:jc w:val="right"/>
            </w:pPr>
            <w:r>
              <w:rPr>
                <w:sz w:val="18"/>
              </w:rPr>
              <w:t>-</w:t>
            </w:r>
          </w:p>
        </w:tc>
      </w:tr>
    </w:tbl>
    <w:p w14:paraId="1E5AAA26" w14:textId="77777777" w:rsidR="001539A9" w:rsidRDefault="001539A9">
      <w:pPr>
        <w:spacing w:after="0"/>
      </w:pPr>
    </w:p>
    <w:p w14:paraId="173E3046" w14:textId="77777777" w:rsidR="001539A9" w:rsidRDefault="00000000">
      <w:r>
        <w:t>Za izvještajno razdoblje iskazan je ukupan manjak prihoda od 57.539,70 eura. Navedeni manjak rezultat je metodološkog i vremenskog nesklada u evidentiranju poslovnih događaja u sustavu riznice. </w:t>
      </w:r>
    </w:p>
    <w:p w14:paraId="47CEB74F" w14:textId="77777777" w:rsidR="001539A9" w:rsidRDefault="00000000">
      <w:r>
        <w:t>Rashodi za plaće evidentirani su u izvještajnom razdoblju sukladno načelu nastanka događaja, dok se prihod kojim se navedeni rashodi pokrivaju evidentira po zaprimanju izvoda o izvršenoj isplati sredstava iz sustava riznice. Budući da je izvod zaprimljen nakon 1. siječnja sljedeće proračunske godine, pripadajući prihod nije iskazan u izvještajnom razdoblju.</w:t>
      </w:r>
    </w:p>
    <w:p w14:paraId="605B2F48" w14:textId="77777777" w:rsidR="001539A9" w:rsidRDefault="00000000">
      <w:r>
        <w:t> </w:t>
      </w:r>
    </w:p>
    <w:p w14:paraId="2531D857" w14:textId="77777777" w:rsidR="001539A9" w:rsidRDefault="001539A9"/>
    <w:p w14:paraId="04454CC3" w14:textId="77777777" w:rsidR="001539A9"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27C59E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E8F6E"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F170C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1AD2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CD064"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3365A4"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F3234" w14:textId="77777777" w:rsidR="001539A9" w:rsidRDefault="00000000">
            <w:pPr>
              <w:keepNext/>
              <w:keepLines/>
              <w:spacing w:after="0" w:line="240" w:lineRule="auto"/>
              <w:jc w:val="center"/>
            </w:pPr>
            <w:r>
              <w:rPr>
                <w:b/>
                <w:sz w:val="18"/>
              </w:rPr>
              <w:t>Indeks (%)</w:t>
            </w:r>
          </w:p>
        </w:tc>
      </w:tr>
      <w:tr w:rsidR="001539A9" w14:paraId="41AFA703" w14:textId="77777777">
        <w:tblPrEx>
          <w:tblCellMar>
            <w:top w:w="0" w:type="dxa"/>
            <w:bottom w:w="0" w:type="dxa"/>
          </w:tblCellMar>
        </w:tblPrEx>
        <w:trPr>
          <w:cantSplit/>
          <w:trHeight w:val="560"/>
        </w:trPr>
        <w:tc>
          <w:tcPr>
            <w:tcW w:w="700" w:type="dxa"/>
            <w:tcMar>
              <w:top w:w="0" w:type="dxa"/>
              <w:bottom w:w="0" w:type="dxa"/>
            </w:tcMar>
            <w:vAlign w:val="center"/>
          </w:tcPr>
          <w:p w14:paraId="635AA105" w14:textId="77777777" w:rsidR="001539A9" w:rsidRDefault="001539A9">
            <w:pPr>
              <w:keepNext/>
              <w:keepLines/>
              <w:spacing w:after="0" w:line="240" w:lineRule="auto"/>
            </w:pPr>
          </w:p>
        </w:tc>
        <w:tc>
          <w:tcPr>
            <w:tcW w:w="3180" w:type="dxa"/>
            <w:tcMar>
              <w:top w:w="0" w:type="dxa"/>
              <w:bottom w:w="0" w:type="dxa"/>
            </w:tcMar>
            <w:vAlign w:val="center"/>
          </w:tcPr>
          <w:p w14:paraId="26E02CB9" w14:textId="77777777" w:rsidR="001539A9"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01208695" w14:textId="77777777" w:rsidR="001539A9" w:rsidRDefault="00000000">
            <w:pPr>
              <w:keepNext/>
              <w:keepLines/>
              <w:spacing w:after="0" w:line="240" w:lineRule="auto"/>
            </w:pPr>
            <w:r>
              <w:rPr>
                <w:sz w:val="18"/>
              </w:rPr>
              <w:t>Y005</w:t>
            </w:r>
          </w:p>
        </w:tc>
        <w:tc>
          <w:tcPr>
            <w:tcW w:w="1860" w:type="dxa"/>
            <w:tcMar>
              <w:top w:w="0" w:type="dxa"/>
              <w:bottom w:w="0" w:type="dxa"/>
            </w:tcMar>
            <w:vAlign w:val="center"/>
          </w:tcPr>
          <w:p w14:paraId="57D7BFA5"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0ADFFBA8" w14:textId="77777777" w:rsidR="001539A9" w:rsidRDefault="00000000">
            <w:pPr>
              <w:keepNext/>
              <w:keepLines/>
              <w:spacing w:after="0" w:line="240" w:lineRule="auto"/>
              <w:jc w:val="right"/>
            </w:pPr>
            <w:r>
              <w:rPr>
                <w:sz w:val="18"/>
              </w:rPr>
              <w:t>57.539,70</w:t>
            </w:r>
          </w:p>
        </w:tc>
        <w:tc>
          <w:tcPr>
            <w:tcW w:w="700" w:type="dxa"/>
            <w:tcMar>
              <w:top w:w="0" w:type="dxa"/>
              <w:bottom w:w="0" w:type="dxa"/>
            </w:tcMar>
            <w:vAlign w:val="center"/>
          </w:tcPr>
          <w:p w14:paraId="4DC60B63" w14:textId="77777777" w:rsidR="001539A9" w:rsidRDefault="00000000">
            <w:pPr>
              <w:keepNext/>
              <w:keepLines/>
              <w:spacing w:after="0" w:line="240" w:lineRule="auto"/>
              <w:jc w:val="right"/>
            </w:pPr>
            <w:r>
              <w:rPr>
                <w:sz w:val="18"/>
              </w:rPr>
              <w:t>-</w:t>
            </w:r>
          </w:p>
        </w:tc>
      </w:tr>
    </w:tbl>
    <w:p w14:paraId="0AA6F3F6" w14:textId="77777777" w:rsidR="001539A9" w:rsidRDefault="001539A9">
      <w:pPr>
        <w:spacing w:after="0"/>
      </w:pPr>
    </w:p>
    <w:p w14:paraId="41E9DDFD" w14:textId="77777777" w:rsidR="001539A9" w:rsidRDefault="00000000">
      <w:r>
        <w:t>Manjak prihoda i primitaka iznosi 57.539,70 eura. Navedeni manjak rezultat je metodološkog i vremenskog nesklada u evidentiranju poslovnih događaja u sustavu riznice. </w:t>
      </w:r>
    </w:p>
    <w:p w14:paraId="43F60089" w14:textId="77777777" w:rsidR="001539A9" w:rsidRDefault="00000000">
      <w:r>
        <w:t> </w:t>
      </w:r>
    </w:p>
    <w:p w14:paraId="4F7F6880" w14:textId="77777777" w:rsidR="001539A9" w:rsidRDefault="00000000">
      <w:r>
        <w:t> </w:t>
      </w:r>
    </w:p>
    <w:p w14:paraId="65D8E372" w14:textId="77777777" w:rsidR="001539A9" w:rsidRDefault="001539A9"/>
    <w:p w14:paraId="4C9A6A4C" w14:textId="77777777" w:rsidR="001539A9"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53D83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ECD64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E62901"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BFEDD1"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35EB1"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47833"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243CCD" w14:textId="77777777" w:rsidR="001539A9" w:rsidRDefault="00000000">
            <w:pPr>
              <w:keepNext/>
              <w:keepLines/>
              <w:spacing w:after="0" w:line="240" w:lineRule="auto"/>
              <w:jc w:val="center"/>
            </w:pPr>
            <w:r>
              <w:rPr>
                <w:b/>
                <w:sz w:val="18"/>
              </w:rPr>
              <w:t>Indeks (%)</w:t>
            </w:r>
          </w:p>
        </w:tc>
      </w:tr>
      <w:tr w:rsidR="001539A9" w14:paraId="78F3D9C2" w14:textId="77777777">
        <w:tblPrEx>
          <w:tblCellMar>
            <w:top w:w="0" w:type="dxa"/>
            <w:bottom w:w="0" w:type="dxa"/>
          </w:tblCellMar>
        </w:tblPrEx>
        <w:trPr>
          <w:cantSplit/>
          <w:trHeight w:val="560"/>
        </w:trPr>
        <w:tc>
          <w:tcPr>
            <w:tcW w:w="700" w:type="dxa"/>
            <w:tcMar>
              <w:top w:w="0" w:type="dxa"/>
              <w:bottom w:w="0" w:type="dxa"/>
            </w:tcMar>
            <w:vAlign w:val="center"/>
          </w:tcPr>
          <w:p w14:paraId="73E9B4A9" w14:textId="77777777" w:rsidR="001539A9" w:rsidRDefault="00000000">
            <w:pPr>
              <w:keepNext/>
              <w:keepLines/>
              <w:spacing w:after="0" w:line="240" w:lineRule="auto"/>
            </w:pPr>
            <w:r>
              <w:rPr>
                <w:sz w:val="18"/>
              </w:rPr>
              <w:t>9221-9222</w:t>
            </w:r>
          </w:p>
        </w:tc>
        <w:tc>
          <w:tcPr>
            <w:tcW w:w="3180" w:type="dxa"/>
            <w:tcMar>
              <w:top w:w="0" w:type="dxa"/>
              <w:bottom w:w="0" w:type="dxa"/>
            </w:tcMar>
            <w:vAlign w:val="center"/>
          </w:tcPr>
          <w:p w14:paraId="67C4B353" w14:textId="77777777" w:rsidR="001539A9"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02061C8" w14:textId="77777777" w:rsidR="001539A9" w:rsidRDefault="00000000">
            <w:pPr>
              <w:keepNext/>
              <w:keepLines/>
              <w:spacing w:after="0" w:line="240" w:lineRule="auto"/>
            </w:pPr>
            <w:r>
              <w:rPr>
                <w:sz w:val="18"/>
              </w:rPr>
              <w:t>9221-9222</w:t>
            </w:r>
          </w:p>
        </w:tc>
        <w:tc>
          <w:tcPr>
            <w:tcW w:w="1860" w:type="dxa"/>
            <w:tcMar>
              <w:top w:w="0" w:type="dxa"/>
              <w:bottom w:w="0" w:type="dxa"/>
            </w:tcMar>
            <w:vAlign w:val="center"/>
          </w:tcPr>
          <w:p w14:paraId="7553D4F9"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2C1E51D1" w14:textId="77777777" w:rsidR="001539A9" w:rsidRDefault="00000000">
            <w:pPr>
              <w:keepNext/>
              <w:keepLines/>
              <w:spacing w:after="0" w:line="240" w:lineRule="auto"/>
              <w:jc w:val="right"/>
            </w:pPr>
            <w:r>
              <w:rPr>
                <w:sz w:val="18"/>
              </w:rPr>
              <w:t>1.268,63</w:t>
            </w:r>
          </w:p>
        </w:tc>
        <w:tc>
          <w:tcPr>
            <w:tcW w:w="700" w:type="dxa"/>
            <w:tcMar>
              <w:top w:w="0" w:type="dxa"/>
              <w:bottom w:w="0" w:type="dxa"/>
            </w:tcMar>
            <w:vAlign w:val="center"/>
          </w:tcPr>
          <w:p w14:paraId="22357C72" w14:textId="77777777" w:rsidR="001539A9" w:rsidRDefault="00000000">
            <w:pPr>
              <w:keepNext/>
              <w:keepLines/>
              <w:spacing w:after="0" w:line="240" w:lineRule="auto"/>
              <w:jc w:val="right"/>
            </w:pPr>
            <w:r>
              <w:rPr>
                <w:sz w:val="18"/>
              </w:rPr>
              <w:t>-</w:t>
            </w:r>
          </w:p>
        </w:tc>
      </w:tr>
    </w:tbl>
    <w:p w14:paraId="3DF5D818" w14:textId="77777777" w:rsidR="001539A9" w:rsidRDefault="001539A9">
      <w:pPr>
        <w:spacing w:after="0"/>
      </w:pPr>
    </w:p>
    <w:p w14:paraId="1B6FEADC" w14:textId="77777777" w:rsidR="001539A9" w:rsidRDefault="00000000">
      <w:r>
        <w:t>Višak prihoda i primitaka – preneseni iznosi 1.268,63 eura, a odnosi se na višak vlastitih prihoda iz prethodne godine te je u promatranoj godini potrošen.</w:t>
      </w:r>
    </w:p>
    <w:p w14:paraId="2F91C11B" w14:textId="77777777" w:rsidR="001539A9" w:rsidRDefault="001539A9"/>
    <w:p w14:paraId="05A9F1B8" w14:textId="77777777" w:rsidR="001539A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CDCF6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AAC934"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F5B3EC"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42B04"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320D5"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F3FD3"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80878C" w14:textId="77777777" w:rsidR="001539A9" w:rsidRDefault="00000000">
            <w:pPr>
              <w:keepNext/>
              <w:keepLines/>
              <w:spacing w:after="0" w:line="240" w:lineRule="auto"/>
              <w:jc w:val="center"/>
            </w:pPr>
            <w:r>
              <w:rPr>
                <w:b/>
                <w:sz w:val="18"/>
              </w:rPr>
              <w:t>Indeks (%)</w:t>
            </w:r>
          </w:p>
        </w:tc>
      </w:tr>
      <w:tr w:rsidR="001539A9" w14:paraId="2FA179E5" w14:textId="77777777">
        <w:tblPrEx>
          <w:tblCellMar>
            <w:top w:w="0" w:type="dxa"/>
            <w:bottom w:w="0" w:type="dxa"/>
          </w:tblCellMar>
        </w:tblPrEx>
        <w:trPr>
          <w:cantSplit/>
          <w:trHeight w:val="560"/>
        </w:trPr>
        <w:tc>
          <w:tcPr>
            <w:tcW w:w="700" w:type="dxa"/>
            <w:tcMar>
              <w:top w:w="0" w:type="dxa"/>
              <w:bottom w:w="0" w:type="dxa"/>
            </w:tcMar>
            <w:vAlign w:val="center"/>
          </w:tcPr>
          <w:p w14:paraId="73E88062" w14:textId="77777777" w:rsidR="001539A9" w:rsidRDefault="001539A9">
            <w:pPr>
              <w:keepNext/>
              <w:keepLines/>
              <w:spacing w:after="0" w:line="240" w:lineRule="auto"/>
            </w:pPr>
          </w:p>
        </w:tc>
        <w:tc>
          <w:tcPr>
            <w:tcW w:w="3180" w:type="dxa"/>
            <w:tcMar>
              <w:top w:w="0" w:type="dxa"/>
              <w:bottom w:w="0" w:type="dxa"/>
            </w:tcMar>
            <w:vAlign w:val="center"/>
          </w:tcPr>
          <w:p w14:paraId="39921654" w14:textId="77777777" w:rsidR="001539A9"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46F6F8E" w14:textId="77777777" w:rsidR="001539A9" w:rsidRDefault="00000000">
            <w:pPr>
              <w:keepNext/>
              <w:keepLines/>
              <w:spacing w:after="0" w:line="240" w:lineRule="auto"/>
            </w:pPr>
            <w:r>
              <w:rPr>
                <w:sz w:val="18"/>
              </w:rPr>
              <w:t>Y006</w:t>
            </w:r>
          </w:p>
        </w:tc>
        <w:tc>
          <w:tcPr>
            <w:tcW w:w="1860" w:type="dxa"/>
            <w:tcMar>
              <w:top w:w="0" w:type="dxa"/>
              <w:bottom w:w="0" w:type="dxa"/>
            </w:tcMar>
            <w:vAlign w:val="center"/>
          </w:tcPr>
          <w:p w14:paraId="321768AA"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4716FF93" w14:textId="77777777" w:rsidR="001539A9" w:rsidRDefault="00000000">
            <w:pPr>
              <w:keepNext/>
              <w:keepLines/>
              <w:spacing w:after="0" w:line="240" w:lineRule="auto"/>
              <w:jc w:val="right"/>
            </w:pPr>
            <w:r>
              <w:rPr>
                <w:sz w:val="18"/>
              </w:rPr>
              <w:t>56.271,07</w:t>
            </w:r>
          </w:p>
        </w:tc>
        <w:tc>
          <w:tcPr>
            <w:tcW w:w="700" w:type="dxa"/>
            <w:tcMar>
              <w:top w:w="0" w:type="dxa"/>
              <w:bottom w:w="0" w:type="dxa"/>
            </w:tcMar>
            <w:vAlign w:val="center"/>
          </w:tcPr>
          <w:p w14:paraId="58577E9F" w14:textId="77777777" w:rsidR="001539A9" w:rsidRDefault="00000000">
            <w:pPr>
              <w:keepNext/>
              <w:keepLines/>
              <w:spacing w:after="0" w:line="240" w:lineRule="auto"/>
              <w:jc w:val="right"/>
            </w:pPr>
            <w:r>
              <w:rPr>
                <w:sz w:val="18"/>
              </w:rPr>
              <w:t>-</w:t>
            </w:r>
          </w:p>
        </w:tc>
      </w:tr>
    </w:tbl>
    <w:p w14:paraId="60CE21C1" w14:textId="77777777" w:rsidR="001539A9" w:rsidRDefault="001539A9">
      <w:pPr>
        <w:spacing w:after="0"/>
      </w:pPr>
    </w:p>
    <w:p w14:paraId="5EF1C19A" w14:textId="77777777" w:rsidR="001539A9" w:rsidRDefault="00000000">
      <w:r>
        <w:t>Manjak prihoda i primitaka za pokriće u sljedećem razdoblju odnosi se na metodološki manjak nastao zbog razlike u vremenu evidentiranja rashoda i prihoda u sustavu riznice.</w:t>
      </w:r>
    </w:p>
    <w:p w14:paraId="7B9D1EA3" w14:textId="77777777" w:rsidR="001539A9" w:rsidRDefault="00000000">
      <w:r>
        <w:t>Razvojna agencija VTA nema nepodmirenih obveza dospjelih na dan 31. prosinca izvještajne godine.</w:t>
      </w:r>
    </w:p>
    <w:p w14:paraId="55AD506B" w14:textId="77777777" w:rsidR="001539A9" w:rsidRDefault="001539A9"/>
    <w:p w14:paraId="74F306CA" w14:textId="77777777" w:rsidR="001539A9"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F4037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585F22"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46569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5DF3C"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01F9F4"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DEFAE8"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4C5407" w14:textId="77777777" w:rsidR="001539A9" w:rsidRDefault="00000000">
            <w:pPr>
              <w:keepNext/>
              <w:keepLines/>
              <w:spacing w:after="0" w:line="240" w:lineRule="auto"/>
              <w:jc w:val="center"/>
            </w:pPr>
            <w:r>
              <w:rPr>
                <w:b/>
                <w:sz w:val="18"/>
              </w:rPr>
              <w:t>Indeks (%)</w:t>
            </w:r>
          </w:p>
        </w:tc>
      </w:tr>
      <w:tr w:rsidR="001539A9" w14:paraId="3D36578C" w14:textId="77777777">
        <w:tblPrEx>
          <w:tblCellMar>
            <w:top w:w="0" w:type="dxa"/>
            <w:bottom w:w="0" w:type="dxa"/>
          </w:tblCellMar>
        </w:tblPrEx>
        <w:trPr>
          <w:cantSplit/>
          <w:trHeight w:val="560"/>
        </w:trPr>
        <w:tc>
          <w:tcPr>
            <w:tcW w:w="700" w:type="dxa"/>
            <w:tcMar>
              <w:top w:w="0" w:type="dxa"/>
              <w:bottom w:w="0" w:type="dxa"/>
            </w:tcMar>
            <w:vAlign w:val="center"/>
          </w:tcPr>
          <w:p w14:paraId="5D9B5B37" w14:textId="77777777" w:rsidR="001539A9" w:rsidRDefault="00000000">
            <w:pPr>
              <w:keepNext/>
              <w:keepLines/>
              <w:spacing w:after="0" w:line="240" w:lineRule="auto"/>
            </w:pPr>
            <w:r>
              <w:rPr>
                <w:sz w:val="18"/>
              </w:rPr>
              <w:t>11</w:t>
            </w:r>
          </w:p>
        </w:tc>
        <w:tc>
          <w:tcPr>
            <w:tcW w:w="3180" w:type="dxa"/>
            <w:tcMar>
              <w:top w:w="0" w:type="dxa"/>
              <w:bottom w:w="0" w:type="dxa"/>
            </w:tcMar>
            <w:vAlign w:val="center"/>
          </w:tcPr>
          <w:p w14:paraId="2C072852" w14:textId="77777777" w:rsidR="001539A9"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29A29560" w14:textId="77777777" w:rsidR="001539A9" w:rsidRDefault="00000000">
            <w:pPr>
              <w:keepNext/>
              <w:keepLines/>
              <w:spacing w:after="0" w:line="240" w:lineRule="auto"/>
            </w:pPr>
            <w:r>
              <w:rPr>
                <w:sz w:val="18"/>
              </w:rPr>
              <w:t>11K</w:t>
            </w:r>
          </w:p>
        </w:tc>
        <w:tc>
          <w:tcPr>
            <w:tcW w:w="1860" w:type="dxa"/>
            <w:tcMar>
              <w:top w:w="0" w:type="dxa"/>
              <w:bottom w:w="0" w:type="dxa"/>
            </w:tcMar>
            <w:vAlign w:val="center"/>
          </w:tcPr>
          <w:p w14:paraId="5D495792" w14:textId="77777777" w:rsidR="001539A9" w:rsidRDefault="00000000">
            <w:pPr>
              <w:keepNext/>
              <w:keepLines/>
              <w:spacing w:after="0" w:line="240" w:lineRule="auto"/>
              <w:jc w:val="right"/>
            </w:pPr>
            <w:r>
              <w:rPr>
                <w:sz w:val="18"/>
              </w:rPr>
              <w:t>63.484,26</w:t>
            </w:r>
          </w:p>
        </w:tc>
        <w:tc>
          <w:tcPr>
            <w:tcW w:w="1860" w:type="dxa"/>
            <w:tcMar>
              <w:top w:w="0" w:type="dxa"/>
              <w:bottom w:w="0" w:type="dxa"/>
            </w:tcMar>
            <w:vAlign w:val="center"/>
          </w:tcPr>
          <w:p w14:paraId="61B151C1"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6A9A5185" w14:textId="77777777" w:rsidR="001539A9" w:rsidRDefault="00000000">
            <w:pPr>
              <w:keepNext/>
              <w:keepLines/>
              <w:spacing w:after="0" w:line="240" w:lineRule="auto"/>
              <w:jc w:val="right"/>
            </w:pPr>
            <w:r>
              <w:rPr>
                <w:sz w:val="18"/>
              </w:rPr>
              <w:t>0</w:t>
            </w:r>
          </w:p>
        </w:tc>
      </w:tr>
    </w:tbl>
    <w:p w14:paraId="68C975D7" w14:textId="77777777" w:rsidR="001539A9" w:rsidRDefault="001539A9">
      <w:pPr>
        <w:spacing w:after="0"/>
      </w:pPr>
    </w:p>
    <w:p w14:paraId="13BAAD19" w14:textId="77777777" w:rsidR="001539A9" w:rsidRDefault="00000000">
      <w:r>
        <w:t>Stanje novčanih sredstava na početku izvještajnog razdoblja iznosilo je 63.484,26 eura, dok na dan 30.12.2025. godine iznosi 0,00 eura. Naime, s obzirom da je 1.12.2025. godine Agencija ušla u sustav riznice Grada Virovitice, sav novac koji je do tada preostao na računu Agencije banka je transferirala na žiroračun Grada. Radilo se o iznosu od 1.238,43 eura koji se u potpunosti odnosio na vlastite prihode te je knjižen na konto 167210.</w:t>
      </w:r>
    </w:p>
    <w:p w14:paraId="7B8F5273" w14:textId="77777777" w:rsidR="001539A9" w:rsidRDefault="001539A9"/>
    <w:p w14:paraId="445AF2B9" w14:textId="77777777" w:rsidR="001539A9" w:rsidRDefault="00000000">
      <w:pPr>
        <w:keepNext/>
        <w:spacing w:line="240" w:lineRule="auto"/>
        <w:jc w:val="center"/>
      </w:pPr>
      <w:r>
        <w:rPr>
          <w:b/>
          <w:sz w:val="28"/>
        </w:rPr>
        <w:t>Bilanca</w:t>
      </w:r>
    </w:p>
    <w:p w14:paraId="701E813D" w14:textId="77777777" w:rsidR="001539A9"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3417C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0FFC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1C154"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257E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429F2"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89CC47"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6EB5CE" w14:textId="77777777" w:rsidR="001539A9" w:rsidRDefault="00000000">
            <w:pPr>
              <w:keepNext/>
              <w:keepLines/>
              <w:spacing w:after="0" w:line="240" w:lineRule="auto"/>
              <w:jc w:val="center"/>
            </w:pPr>
            <w:r>
              <w:rPr>
                <w:b/>
                <w:sz w:val="18"/>
              </w:rPr>
              <w:t>Indeks (%)</w:t>
            </w:r>
          </w:p>
        </w:tc>
      </w:tr>
      <w:tr w:rsidR="001539A9" w14:paraId="250D4437" w14:textId="77777777">
        <w:tblPrEx>
          <w:tblCellMar>
            <w:top w:w="0" w:type="dxa"/>
            <w:bottom w:w="0" w:type="dxa"/>
          </w:tblCellMar>
        </w:tblPrEx>
        <w:trPr>
          <w:cantSplit/>
          <w:trHeight w:val="560"/>
        </w:trPr>
        <w:tc>
          <w:tcPr>
            <w:tcW w:w="700" w:type="dxa"/>
            <w:tcMar>
              <w:top w:w="0" w:type="dxa"/>
              <w:bottom w:w="0" w:type="dxa"/>
            </w:tcMar>
            <w:vAlign w:val="center"/>
          </w:tcPr>
          <w:p w14:paraId="62642DD4" w14:textId="77777777" w:rsidR="001539A9" w:rsidRDefault="001539A9">
            <w:pPr>
              <w:keepNext/>
              <w:keepLines/>
              <w:spacing w:after="0" w:line="240" w:lineRule="auto"/>
            </w:pPr>
          </w:p>
        </w:tc>
        <w:tc>
          <w:tcPr>
            <w:tcW w:w="3180" w:type="dxa"/>
            <w:tcMar>
              <w:top w:w="0" w:type="dxa"/>
              <w:bottom w:w="0" w:type="dxa"/>
            </w:tcMar>
            <w:vAlign w:val="center"/>
          </w:tcPr>
          <w:p w14:paraId="383F01E5" w14:textId="77777777" w:rsidR="001539A9" w:rsidRDefault="00000000">
            <w:pPr>
              <w:keepNext/>
              <w:keepLines/>
              <w:spacing w:after="0" w:line="240" w:lineRule="auto"/>
            </w:pPr>
            <w:r>
              <w:rPr>
                <w:sz w:val="18"/>
              </w:rPr>
              <w:t>IMOVINA (šifre B002+1)</w:t>
            </w:r>
          </w:p>
        </w:tc>
        <w:tc>
          <w:tcPr>
            <w:tcW w:w="700" w:type="dxa"/>
            <w:tcMar>
              <w:top w:w="0" w:type="dxa"/>
              <w:bottom w:w="0" w:type="dxa"/>
            </w:tcMar>
            <w:vAlign w:val="center"/>
          </w:tcPr>
          <w:p w14:paraId="64388CE6" w14:textId="77777777" w:rsidR="001539A9" w:rsidRDefault="00000000">
            <w:pPr>
              <w:keepNext/>
              <w:keepLines/>
              <w:spacing w:after="0" w:line="240" w:lineRule="auto"/>
            </w:pPr>
            <w:r>
              <w:rPr>
                <w:sz w:val="18"/>
              </w:rPr>
              <w:t>B001</w:t>
            </w:r>
          </w:p>
        </w:tc>
        <w:tc>
          <w:tcPr>
            <w:tcW w:w="1860" w:type="dxa"/>
            <w:tcMar>
              <w:top w:w="0" w:type="dxa"/>
              <w:bottom w:w="0" w:type="dxa"/>
            </w:tcMar>
            <w:vAlign w:val="center"/>
          </w:tcPr>
          <w:p w14:paraId="6882442B" w14:textId="77777777" w:rsidR="001539A9" w:rsidRDefault="00000000">
            <w:pPr>
              <w:keepNext/>
              <w:keepLines/>
              <w:spacing w:after="0" w:line="240" w:lineRule="auto"/>
              <w:jc w:val="right"/>
            </w:pPr>
            <w:r>
              <w:rPr>
                <w:sz w:val="18"/>
              </w:rPr>
              <w:t>80.168,10</w:t>
            </w:r>
          </w:p>
        </w:tc>
        <w:tc>
          <w:tcPr>
            <w:tcW w:w="1860" w:type="dxa"/>
            <w:tcMar>
              <w:top w:w="0" w:type="dxa"/>
              <w:bottom w:w="0" w:type="dxa"/>
            </w:tcMar>
            <w:vAlign w:val="center"/>
          </w:tcPr>
          <w:p w14:paraId="687E260C" w14:textId="77777777" w:rsidR="001539A9" w:rsidRDefault="00000000">
            <w:pPr>
              <w:keepNext/>
              <w:keepLines/>
              <w:spacing w:after="0" w:line="240" w:lineRule="auto"/>
              <w:jc w:val="right"/>
            </w:pPr>
            <w:r>
              <w:rPr>
                <w:sz w:val="18"/>
              </w:rPr>
              <w:t>22.282,05</w:t>
            </w:r>
          </w:p>
        </w:tc>
        <w:tc>
          <w:tcPr>
            <w:tcW w:w="700" w:type="dxa"/>
            <w:tcMar>
              <w:top w:w="0" w:type="dxa"/>
              <w:bottom w:w="0" w:type="dxa"/>
            </w:tcMar>
            <w:vAlign w:val="center"/>
          </w:tcPr>
          <w:p w14:paraId="4A8680F0" w14:textId="77777777" w:rsidR="001539A9" w:rsidRDefault="00000000">
            <w:pPr>
              <w:keepNext/>
              <w:keepLines/>
              <w:spacing w:after="0" w:line="240" w:lineRule="auto"/>
              <w:jc w:val="right"/>
            </w:pPr>
            <w:r>
              <w:rPr>
                <w:sz w:val="18"/>
              </w:rPr>
              <w:t>27,8</w:t>
            </w:r>
          </w:p>
        </w:tc>
      </w:tr>
    </w:tbl>
    <w:p w14:paraId="08FEC155" w14:textId="77777777" w:rsidR="001539A9" w:rsidRDefault="001539A9">
      <w:pPr>
        <w:spacing w:after="0"/>
      </w:pPr>
    </w:p>
    <w:p w14:paraId="304B9B11" w14:textId="77777777" w:rsidR="001539A9" w:rsidRDefault="00000000">
      <w:r>
        <w:t>Vrijednost ukupne imovine s početka do kraja izvještajnog razdoblja značajno je smanjena jer je Agencija 1.12. ušla u sustav riznice te više nema novac na žiro računu koji je imala sa stanjem na 1. siječnja 2025. godine.</w:t>
      </w:r>
    </w:p>
    <w:p w14:paraId="5F88B610" w14:textId="77777777" w:rsidR="001539A9" w:rsidRDefault="001539A9"/>
    <w:p w14:paraId="1ABD6A51" w14:textId="77777777" w:rsidR="001539A9"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5070F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A46B7B"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BC4785"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107A47"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2FE224"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034BBA"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7D17CE" w14:textId="77777777" w:rsidR="001539A9" w:rsidRDefault="00000000">
            <w:pPr>
              <w:keepNext/>
              <w:keepLines/>
              <w:spacing w:after="0" w:line="240" w:lineRule="auto"/>
              <w:jc w:val="center"/>
            </w:pPr>
            <w:r>
              <w:rPr>
                <w:b/>
                <w:sz w:val="18"/>
              </w:rPr>
              <w:t>Indeks (%)</w:t>
            </w:r>
          </w:p>
        </w:tc>
      </w:tr>
      <w:tr w:rsidR="001539A9" w14:paraId="2F698B1F" w14:textId="77777777">
        <w:tblPrEx>
          <w:tblCellMar>
            <w:top w:w="0" w:type="dxa"/>
            <w:bottom w:w="0" w:type="dxa"/>
          </w:tblCellMar>
        </w:tblPrEx>
        <w:trPr>
          <w:cantSplit/>
          <w:trHeight w:val="560"/>
        </w:trPr>
        <w:tc>
          <w:tcPr>
            <w:tcW w:w="700" w:type="dxa"/>
            <w:tcMar>
              <w:top w:w="0" w:type="dxa"/>
              <w:bottom w:w="0" w:type="dxa"/>
            </w:tcMar>
            <w:vAlign w:val="center"/>
          </w:tcPr>
          <w:p w14:paraId="7AEF6C80" w14:textId="77777777" w:rsidR="001539A9" w:rsidRDefault="00000000">
            <w:pPr>
              <w:keepNext/>
              <w:keepLines/>
              <w:spacing w:after="0" w:line="240" w:lineRule="auto"/>
            </w:pPr>
            <w:r>
              <w:rPr>
                <w:sz w:val="18"/>
              </w:rPr>
              <w:t>0</w:t>
            </w:r>
          </w:p>
        </w:tc>
        <w:tc>
          <w:tcPr>
            <w:tcW w:w="3180" w:type="dxa"/>
            <w:tcMar>
              <w:top w:w="0" w:type="dxa"/>
              <w:bottom w:w="0" w:type="dxa"/>
            </w:tcMar>
            <w:vAlign w:val="center"/>
          </w:tcPr>
          <w:p w14:paraId="4E22629C" w14:textId="77777777" w:rsidR="001539A9"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82DDB1B" w14:textId="77777777" w:rsidR="001539A9" w:rsidRDefault="00000000">
            <w:pPr>
              <w:keepNext/>
              <w:keepLines/>
              <w:spacing w:after="0" w:line="240" w:lineRule="auto"/>
            </w:pPr>
            <w:r>
              <w:rPr>
                <w:sz w:val="18"/>
              </w:rPr>
              <w:t>B002</w:t>
            </w:r>
          </w:p>
        </w:tc>
        <w:tc>
          <w:tcPr>
            <w:tcW w:w="1860" w:type="dxa"/>
            <w:tcMar>
              <w:top w:w="0" w:type="dxa"/>
              <w:bottom w:w="0" w:type="dxa"/>
            </w:tcMar>
            <w:vAlign w:val="center"/>
          </w:tcPr>
          <w:p w14:paraId="323B6BE2" w14:textId="77777777" w:rsidR="001539A9" w:rsidRDefault="00000000">
            <w:pPr>
              <w:keepNext/>
              <w:keepLines/>
              <w:spacing w:after="0" w:line="240" w:lineRule="auto"/>
              <w:jc w:val="right"/>
            </w:pPr>
            <w:r>
              <w:rPr>
                <w:sz w:val="18"/>
              </w:rPr>
              <w:t>15.990,56</w:t>
            </w:r>
          </w:p>
        </w:tc>
        <w:tc>
          <w:tcPr>
            <w:tcW w:w="1860" w:type="dxa"/>
            <w:tcMar>
              <w:top w:w="0" w:type="dxa"/>
              <w:bottom w:w="0" w:type="dxa"/>
            </w:tcMar>
            <w:vAlign w:val="center"/>
          </w:tcPr>
          <w:p w14:paraId="2CA6851C" w14:textId="77777777" w:rsidR="001539A9" w:rsidRDefault="00000000">
            <w:pPr>
              <w:keepNext/>
              <w:keepLines/>
              <w:spacing w:after="0" w:line="240" w:lineRule="auto"/>
              <w:jc w:val="right"/>
            </w:pPr>
            <w:r>
              <w:rPr>
                <w:sz w:val="18"/>
              </w:rPr>
              <w:t>22.217,13</w:t>
            </w:r>
          </w:p>
        </w:tc>
        <w:tc>
          <w:tcPr>
            <w:tcW w:w="700" w:type="dxa"/>
            <w:tcMar>
              <w:top w:w="0" w:type="dxa"/>
              <w:bottom w:w="0" w:type="dxa"/>
            </w:tcMar>
            <w:vAlign w:val="center"/>
          </w:tcPr>
          <w:p w14:paraId="0B4D4C01" w14:textId="77777777" w:rsidR="001539A9" w:rsidRDefault="00000000">
            <w:pPr>
              <w:keepNext/>
              <w:keepLines/>
              <w:spacing w:after="0" w:line="240" w:lineRule="auto"/>
              <w:jc w:val="right"/>
            </w:pPr>
            <w:r>
              <w:rPr>
                <w:sz w:val="18"/>
              </w:rPr>
              <w:t>138,9</w:t>
            </w:r>
          </w:p>
        </w:tc>
      </w:tr>
    </w:tbl>
    <w:p w14:paraId="7F0AE60C" w14:textId="77777777" w:rsidR="001539A9" w:rsidRDefault="001539A9">
      <w:pPr>
        <w:spacing w:after="0"/>
      </w:pPr>
    </w:p>
    <w:p w14:paraId="602846A1" w14:textId="77777777" w:rsidR="001539A9" w:rsidRDefault="00000000">
      <w:r>
        <w:t>Vrijednost nefinancijske imovine povećala se za 38,9% zbog povećanja uredske opreme i namještaja (0221) te uređaja i ostale opreme (0227).</w:t>
      </w:r>
    </w:p>
    <w:p w14:paraId="042A7A77" w14:textId="77777777" w:rsidR="001539A9" w:rsidRDefault="001539A9"/>
    <w:p w14:paraId="6CA8D0E3" w14:textId="77777777" w:rsidR="001539A9"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047209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62945F"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E2B663"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7BBE71"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45E404"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496E1C"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11D700" w14:textId="77777777" w:rsidR="001539A9" w:rsidRDefault="00000000">
            <w:pPr>
              <w:keepNext/>
              <w:keepLines/>
              <w:spacing w:after="0" w:line="240" w:lineRule="auto"/>
              <w:jc w:val="center"/>
            </w:pPr>
            <w:r>
              <w:rPr>
                <w:b/>
                <w:sz w:val="18"/>
              </w:rPr>
              <w:t>Indeks (%)</w:t>
            </w:r>
          </w:p>
        </w:tc>
      </w:tr>
      <w:tr w:rsidR="001539A9" w14:paraId="1BD0505C" w14:textId="77777777">
        <w:tblPrEx>
          <w:tblCellMar>
            <w:top w:w="0" w:type="dxa"/>
            <w:bottom w:w="0" w:type="dxa"/>
          </w:tblCellMar>
        </w:tblPrEx>
        <w:trPr>
          <w:cantSplit/>
          <w:trHeight w:val="560"/>
        </w:trPr>
        <w:tc>
          <w:tcPr>
            <w:tcW w:w="700" w:type="dxa"/>
            <w:tcMar>
              <w:top w:w="0" w:type="dxa"/>
              <w:bottom w:w="0" w:type="dxa"/>
            </w:tcMar>
            <w:vAlign w:val="center"/>
          </w:tcPr>
          <w:p w14:paraId="25CFEAFE" w14:textId="77777777" w:rsidR="001539A9" w:rsidRDefault="00000000">
            <w:pPr>
              <w:keepNext/>
              <w:keepLines/>
              <w:spacing w:after="0" w:line="240" w:lineRule="auto"/>
            </w:pPr>
            <w:r>
              <w:rPr>
                <w:sz w:val="18"/>
              </w:rPr>
              <w:t>0221</w:t>
            </w:r>
          </w:p>
        </w:tc>
        <w:tc>
          <w:tcPr>
            <w:tcW w:w="3180" w:type="dxa"/>
            <w:tcMar>
              <w:top w:w="0" w:type="dxa"/>
              <w:bottom w:w="0" w:type="dxa"/>
            </w:tcMar>
            <w:vAlign w:val="center"/>
          </w:tcPr>
          <w:p w14:paraId="3476C946" w14:textId="77777777" w:rsidR="001539A9"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C144258" w14:textId="77777777" w:rsidR="001539A9" w:rsidRDefault="00000000">
            <w:pPr>
              <w:keepNext/>
              <w:keepLines/>
              <w:spacing w:after="0" w:line="240" w:lineRule="auto"/>
            </w:pPr>
            <w:r>
              <w:rPr>
                <w:sz w:val="18"/>
              </w:rPr>
              <w:t>0221</w:t>
            </w:r>
          </w:p>
        </w:tc>
        <w:tc>
          <w:tcPr>
            <w:tcW w:w="1860" w:type="dxa"/>
            <w:tcMar>
              <w:top w:w="0" w:type="dxa"/>
              <w:bottom w:w="0" w:type="dxa"/>
            </w:tcMar>
            <w:vAlign w:val="center"/>
          </w:tcPr>
          <w:p w14:paraId="4042017C" w14:textId="77777777" w:rsidR="001539A9" w:rsidRDefault="00000000">
            <w:pPr>
              <w:keepNext/>
              <w:keepLines/>
              <w:spacing w:after="0" w:line="240" w:lineRule="auto"/>
              <w:jc w:val="right"/>
            </w:pPr>
            <w:r>
              <w:rPr>
                <w:sz w:val="18"/>
              </w:rPr>
              <w:t>36.699,46</w:t>
            </w:r>
          </w:p>
        </w:tc>
        <w:tc>
          <w:tcPr>
            <w:tcW w:w="1860" w:type="dxa"/>
            <w:tcMar>
              <w:top w:w="0" w:type="dxa"/>
              <w:bottom w:w="0" w:type="dxa"/>
            </w:tcMar>
            <w:vAlign w:val="center"/>
          </w:tcPr>
          <w:p w14:paraId="3F3FD1E1" w14:textId="77777777" w:rsidR="001539A9" w:rsidRDefault="00000000">
            <w:pPr>
              <w:keepNext/>
              <w:keepLines/>
              <w:spacing w:after="0" w:line="240" w:lineRule="auto"/>
              <w:jc w:val="right"/>
            </w:pPr>
            <w:r>
              <w:rPr>
                <w:sz w:val="18"/>
              </w:rPr>
              <w:t>47.539,46</w:t>
            </w:r>
          </w:p>
        </w:tc>
        <w:tc>
          <w:tcPr>
            <w:tcW w:w="700" w:type="dxa"/>
            <w:tcMar>
              <w:top w:w="0" w:type="dxa"/>
              <w:bottom w:w="0" w:type="dxa"/>
            </w:tcMar>
            <w:vAlign w:val="center"/>
          </w:tcPr>
          <w:p w14:paraId="0E638ACB" w14:textId="77777777" w:rsidR="001539A9" w:rsidRDefault="00000000">
            <w:pPr>
              <w:keepNext/>
              <w:keepLines/>
              <w:spacing w:after="0" w:line="240" w:lineRule="auto"/>
              <w:jc w:val="right"/>
            </w:pPr>
            <w:r>
              <w:rPr>
                <w:sz w:val="18"/>
              </w:rPr>
              <w:t>129,5</w:t>
            </w:r>
          </w:p>
        </w:tc>
      </w:tr>
    </w:tbl>
    <w:p w14:paraId="21A79F42" w14:textId="77777777" w:rsidR="001539A9" w:rsidRDefault="001539A9">
      <w:pPr>
        <w:spacing w:after="0"/>
      </w:pPr>
    </w:p>
    <w:p w14:paraId="3695658B" w14:textId="77777777" w:rsidR="001539A9" w:rsidRDefault="00000000">
      <w:r>
        <w:lastRenderedPageBreak/>
        <w:t>Vrijednost uredske opreme i namještaja povećava se za 29,5% u odnosu na početak izvještajnog razdoblja. Nabavljeno je 6 novih prijenosnih računala, 3 monitora, 2 radna stola i ladičar, 6 uredskih stolica za potrebe svakodnevnog rada zaposlenika te je uređena prostorija za arhiv opremljena metalnim policama.</w:t>
      </w:r>
    </w:p>
    <w:p w14:paraId="1C6552AD" w14:textId="77777777" w:rsidR="001539A9" w:rsidRDefault="001539A9"/>
    <w:p w14:paraId="76216DC4" w14:textId="77777777" w:rsidR="001539A9"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52724C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CFDDF"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245604"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04909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D144D"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70C76F"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9FB1BB" w14:textId="77777777" w:rsidR="001539A9" w:rsidRDefault="00000000">
            <w:pPr>
              <w:keepNext/>
              <w:keepLines/>
              <w:spacing w:after="0" w:line="240" w:lineRule="auto"/>
              <w:jc w:val="center"/>
            </w:pPr>
            <w:r>
              <w:rPr>
                <w:b/>
                <w:sz w:val="18"/>
              </w:rPr>
              <w:t>Indeks (%)</w:t>
            </w:r>
          </w:p>
        </w:tc>
      </w:tr>
      <w:tr w:rsidR="001539A9" w14:paraId="3EB00BDD" w14:textId="77777777">
        <w:tblPrEx>
          <w:tblCellMar>
            <w:top w:w="0" w:type="dxa"/>
            <w:bottom w:w="0" w:type="dxa"/>
          </w:tblCellMar>
        </w:tblPrEx>
        <w:trPr>
          <w:cantSplit/>
          <w:trHeight w:val="560"/>
        </w:trPr>
        <w:tc>
          <w:tcPr>
            <w:tcW w:w="700" w:type="dxa"/>
            <w:tcMar>
              <w:top w:w="0" w:type="dxa"/>
              <w:bottom w:w="0" w:type="dxa"/>
            </w:tcMar>
            <w:vAlign w:val="center"/>
          </w:tcPr>
          <w:p w14:paraId="05FDA220" w14:textId="77777777" w:rsidR="001539A9" w:rsidRDefault="00000000">
            <w:pPr>
              <w:keepNext/>
              <w:keepLines/>
              <w:spacing w:after="0" w:line="240" w:lineRule="auto"/>
            </w:pPr>
            <w:r>
              <w:rPr>
                <w:sz w:val="18"/>
              </w:rPr>
              <w:t>0227</w:t>
            </w:r>
          </w:p>
        </w:tc>
        <w:tc>
          <w:tcPr>
            <w:tcW w:w="3180" w:type="dxa"/>
            <w:tcMar>
              <w:top w:w="0" w:type="dxa"/>
              <w:bottom w:w="0" w:type="dxa"/>
            </w:tcMar>
            <w:vAlign w:val="center"/>
          </w:tcPr>
          <w:p w14:paraId="6E41556D" w14:textId="77777777" w:rsidR="001539A9"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5B773274" w14:textId="77777777" w:rsidR="001539A9" w:rsidRDefault="00000000">
            <w:pPr>
              <w:keepNext/>
              <w:keepLines/>
              <w:spacing w:after="0" w:line="240" w:lineRule="auto"/>
            </w:pPr>
            <w:r>
              <w:rPr>
                <w:sz w:val="18"/>
              </w:rPr>
              <w:t>0227</w:t>
            </w:r>
          </w:p>
        </w:tc>
        <w:tc>
          <w:tcPr>
            <w:tcW w:w="1860" w:type="dxa"/>
            <w:tcMar>
              <w:top w:w="0" w:type="dxa"/>
              <w:bottom w:w="0" w:type="dxa"/>
            </w:tcMar>
            <w:vAlign w:val="center"/>
          </w:tcPr>
          <w:p w14:paraId="06D76FB9" w14:textId="77777777" w:rsidR="001539A9" w:rsidRDefault="00000000">
            <w:pPr>
              <w:keepNext/>
              <w:keepLines/>
              <w:spacing w:after="0" w:line="240" w:lineRule="auto"/>
              <w:jc w:val="right"/>
            </w:pPr>
            <w:r>
              <w:rPr>
                <w:sz w:val="18"/>
              </w:rPr>
              <w:t>948,97</w:t>
            </w:r>
          </w:p>
        </w:tc>
        <w:tc>
          <w:tcPr>
            <w:tcW w:w="1860" w:type="dxa"/>
            <w:tcMar>
              <w:top w:w="0" w:type="dxa"/>
              <w:bottom w:w="0" w:type="dxa"/>
            </w:tcMar>
            <w:vAlign w:val="center"/>
          </w:tcPr>
          <w:p w14:paraId="11E5CF0C" w14:textId="77777777" w:rsidR="001539A9" w:rsidRDefault="00000000">
            <w:pPr>
              <w:keepNext/>
              <w:keepLines/>
              <w:spacing w:after="0" w:line="240" w:lineRule="auto"/>
              <w:jc w:val="right"/>
            </w:pPr>
            <w:r>
              <w:rPr>
                <w:sz w:val="18"/>
              </w:rPr>
              <w:t>3.915,22</w:t>
            </w:r>
          </w:p>
        </w:tc>
        <w:tc>
          <w:tcPr>
            <w:tcW w:w="700" w:type="dxa"/>
            <w:tcMar>
              <w:top w:w="0" w:type="dxa"/>
              <w:bottom w:w="0" w:type="dxa"/>
            </w:tcMar>
            <w:vAlign w:val="center"/>
          </w:tcPr>
          <w:p w14:paraId="3844B3BC" w14:textId="77777777" w:rsidR="001539A9" w:rsidRDefault="00000000">
            <w:pPr>
              <w:keepNext/>
              <w:keepLines/>
              <w:spacing w:after="0" w:line="240" w:lineRule="auto"/>
              <w:jc w:val="right"/>
            </w:pPr>
            <w:r>
              <w:rPr>
                <w:sz w:val="18"/>
              </w:rPr>
              <w:t>412,6</w:t>
            </w:r>
          </w:p>
        </w:tc>
      </w:tr>
    </w:tbl>
    <w:p w14:paraId="02C3EB97" w14:textId="77777777" w:rsidR="001539A9" w:rsidRDefault="001539A9">
      <w:pPr>
        <w:spacing w:after="0"/>
      </w:pPr>
    </w:p>
    <w:p w14:paraId="3131AC37" w14:textId="77777777" w:rsidR="001539A9" w:rsidRDefault="00000000">
      <w:r>
        <w:t>Uređaji, strojevi i oprema za ostale namjene porasli su s 948,97 eura na 3.915,22 eura s obzirom da je u novim prostorima u koje se Agencija preselila, uređena prostorija za arhiv opremljena metalnim policama u vrijednosti 2.950,00 eura. </w:t>
      </w:r>
    </w:p>
    <w:p w14:paraId="59A881D6" w14:textId="77777777" w:rsidR="001539A9" w:rsidRDefault="001539A9"/>
    <w:p w14:paraId="3089E701" w14:textId="77777777" w:rsidR="001539A9"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AC645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6FD94C"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EFFA7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68C0D5"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A9329"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AC2F08"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954D61" w14:textId="77777777" w:rsidR="001539A9" w:rsidRDefault="00000000">
            <w:pPr>
              <w:keepNext/>
              <w:keepLines/>
              <w:spacing w:after="0" w:line="240" w:lineRule="auto"/>
              <w:jc w:val="center"/>
            </w:pPr>
            <w:r>
              <w:rPr>
                <w:b/>
                <w:sz w:val="18"/>
              </w:rPr>
              <w:t>Indeks (%)</w:t>
            </w:r>
          </w:p>
        </w:tc>
      </w:tr>
      <w:tr w:rsidR="001539A9" w14:paraId="4B86CE04" w14:textId="77777777">
        <w:tblPrEx>
          <w:tblCellMar>
            <w:top w:w="0" w:type="dxa"/>
            <w:bottom w:w="0" w:type="dxa"/>
          </w:tblCellMar>
        </w:tblPrEx>
        <w:trPr>
          <w:cantSplit/>
          <w:trHeight w:val="560"/>
        </w:trPr>
        <w:tc>
          <w:tcPr>
            <w:tcW w:w="700" w:type="dxa"/>
            <w:tcMar>
              <w:top w:w="0" w:type="dxa"/>
              <w:bottom w:w="0" w:type="dxa"/>
            </w:tcMar>
            <w:vAlign w:val="center"/>
          </w:tcPr>
          <w:p w14:paraId="235D6441" w14:textId="77777777" w:rsidR="001539A9" w:rsidRDefault="00000000">
            <w:pPr>
              <w:keepNext/>
              <w:keepLines/>
              <w:spacing w:after="0" w:line="240" w:lineRule="auto"/>
            </w:pPr>
            <w:r>
              <w:rPr>
                <w:sz w:val="18"/>
              </w:rPr>
              <w:t>02922</w:t>
            </w:r>
          </w:p>
        </w:tc>
        <w:tc>
          <w:tcPr>
            <w:tcW w:w="3180" w:type="dxa"/>
            <w:tcMar>
              <w:top w:w="0" w:type="dxa"/>
              <w:bottom w:w="0" w:type="dxa"/>
            </w:tcMar>
            <w:vAlign w:val="center"/>
          </w:tcPr>
          <w:p w14:paraId="50DBE95B" w14:textId="77777777" w:rsidR="001539A9"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1F941670" w14:textId="77777777" w:rsidR="001539A9" w:rsidRDefault="00000000">
            <w:pPr>
              <w:keepNext/>
              <w:keepLines/>
              <w:spacing w:after="0" w:line="240" w:lineRule="auto"/>
            </w:pPr>
            <w:r>
              <w:rPr>
                <w:sz w:val="18"/>
              </w:rPr>
              <w:t>02922</w:t>
            </w:r>
          </w:p>
        </w:tc>
        <w:tc>
          <w:tcPr>
            <w:tcW w:w="1860" w:type="dxa"/>
            <w:tcMar>
              <w:top w:w="0" w:type="dxa"/>
              <w:bottom w:w="0" w:type="dxa"/>
            </w:tcMar>
            <w:vAlign w:val="center"/>
          </w:tcPr>
          <w:p w14:paraId="0F2D7A04" w14:textId="77777777" w:rsidR="001539A9" w:rsidRDefault="00000000">
            <w:pPr>
              <w:keepNext/>
              <w:keepLines/>
              <w:spacing w:after="0" w:line="240" w:lineRule="auto"/>
              <w:jc w:val="right"/>
            </w:pPr>
            <w:r>
              <w:rPr>
                <w:sz w:val="18"/>
              </w:rPr>
              <w:t>31.010,63</w:t>
            </w:r>
          </w:p>
        </w:tc>
        <w:tc>
          <w:tcPr>
            <w:tcW w:w="1860" w:type="dxa"/>
            <w:tcMar>
              <w:top w:w="0" w:type="dxa"/>
              <w:bottom w:w="0" w:type="dxa"/>
            </w:tcMar>
            <w:vAlign w:val="center"/>
          </w:tcPr>
          <w:p w14:paraId="5EAEAF30" w14:textId="77777777" w:rsidR="001539A9" w:rsidRDefault="00000000">
            <w:pPr>
              <w:keepNext/>
              <w:keepLines/>
              <w:spacing w:after="0" w:line="240" w:lineRule="auto"/>
              <w:jc w:val="right"/>
            </w:pPr>
            <w:r>
              <w:rPr>
                <w:sz w:val="18"/>
              </w:rPr>
              <w:t>35.232,42</w:t>
            </w:r>
          </w:p>
        </w:tc>
        <w:tc>
          <w:tcPr>
            <w:tcW w:w="700" w:type="dxa"/>
            <w:tcMar>
              <w:top w:w="0" w:type="dxa"/>
              <w:bottom w:w="0" w:type="dxa"/>
            </w:tcMar>
            <w:vAlign w:val="center"/>
          </w:tcPr>
          <w:p w14:paraId="6E83A611" w14:textId="77777777" w:rsidR="001539A9" w:rsidRDefault="00000000">
            <w:pPr>
              <w:keepNext/>
              <w:keepLines/>
              <w:spacing w:after="0" w:line="240" w:lineRule="auto"/>
              <w:jc w:val="right"/>
            </w:pPr>
            <w:r>
              <w:rPr>
                <w:sz w:val="18"/>
              </w:rPr>
              <w:t>113,6</w:t>
            </w:r>
          </w:p>
        </w:tc>
      </w:tr>
    </w:tbl>
    <w:p w14:paraId="0D9A4267" w14:textId="77777777" w:rsidR="001539A9" w:rsidRDefault="001539A9">
      <w:pPr>
        <w:spacing w:after="0"/>
      </w:pPr>
    </w:p>
    <w:p w14:paraId="71F21FD0" w14:textId="77777777" w:rsidR="001539A9" w:rsidRDefault="00000000">
      <w:r>
        <w:t>Tijekom godine evidentirano je povećanje ispravka vrijednosti postrojenja i opreme kao rezultat redovitog obračuna amortizacije dugotrajne materijalne imovine, sukladno važećim propisima i računovodstvenim politikama.</w:t>
      </w:r>
    </w:p>
    <w:p w14:paraId="70BB69D1" w14:textId="77777777" w:rsidR="001539A9" w:rsidRDefault="001539A9"/>
    <w:p w14:paraId="60D76F7C" w14:textId="77777777" w:rsidR="001539A9"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35B5FC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DCCBE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8821D0"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5CC73"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15834"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A1A978"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EF2D9F" w14:textId="77777777" w:rsidR="001539A9" w:rsidRDefault="00000000">
            <w:pPr>
              <w:keepNext/>
              <w:keepLines/>
              <w:spacing w:after="0" w:line="240" w:lineRule="auto"/>
              <w:jc w:val="center"/>
            </w:pPr>
            <w:r>
              <w:rPr>
                <w:b/>
                <w:sz w:val="18"/>
              </w:rPr>
              <w:t>Indeks (%)</w:t>
            </w:r>
          </w:p>
        </w:tc>
      </w:tr>
      <w:tr w:rsidR="001539A9" w14:paraId="469C16B2" w14:textId="77777777">
        <w:tblPrEx>
          <w:tblCellMar>
            <w:top w:w="0" w:type="dxa"/>
            <w:bottom w:w="0" w:type="dxa"/>
          </w:tblCellMar>
        </w:tblPrEx>
        <w:trPr>
          <w:cantSplit/>
          <w:trHeight w:val="560"/>
        </w:trPr>
        <w:tc>
          <w:tcPr>
            <w:tcW w:w="700" w:type="dxa"/>
            <w:tcMar>
              <w:top w:w="0" w:type="dxa"/>
              <w:bottom w:w="0" w:type="dxa"/>
            </w:tcMar>
            <w:vAlign w:val="center"/>
          </w:tcPr>
          <w:p w14:paraId="2195A5BA" w14:textId="77777777" w:rsidR="001539A9" w:rsidRDefault="00000000">
            <w:pPr>
              <w:keepNext/>
              <w:keepLines/>
              <w:spacing w:after="0" w:line="240" w:lineRule="auto"/>
            </w:pPr>
            <w:r>
              <w:rPr>
                <w:sz w:val="18"/>
              </w:rPr>
              <w:t>02923</w:t>
            </w:r>
          </w:p>
        </w:tc>
        <w:tc>
          <w:tcPr>
            <w:tcW w:w="3180" w:type="dxa"/>
            <w:tcMar>
              <w:top w:w="0" w:type="dxa"/>
              <w:bottom w:w="0" w:type="dxa"/>
            </w:tcMar>
            <w:vAlign w:val="center"/>
          </w:tcPr>
          <w:p w14:paraId="05038519" w14:textId="77777777" w:rsidR="001539A9" w:rsidRDefault="00000000">
            <w:pPr>
              <w:keepNext/>
              <w:keepLines/>
              <w:spacing w:after="0" w:line="240" w:lineRule="auto"/>
            </w:pPr>
            <w:r>
              <w:rPr>
                <w:sz w:val="18"/>
              </w:rPr>
              <w:t>Ispravak vrijednosti prijevoznih sredstava</w:t>
            </w:r>
          </w:p>
        </w:tc>
        <w:tc>
          <w:tcPr>
            <w:tcW w:w="700" w:type="dxa"/>
            <w:tcMar>
              <w:top w:w="0" w:type="dxa"/>
              <w:bottom w:w="0" w:type="dxa"/>
            </w:tcMar>
            <w:vAlign w:val="center"/>
          </w:tcPr>
          <w:p w14:paraId="7315D038" w14:textId="77777777" w:rsidR="001539A9" w:rsidRDefault="00000000">
            <w:pPr>
              <w:keepNext/>
              <w:keepLines/>
              <w:spacing w:after="0" w:line="240" w:lineRule="auto"/>
            </w:pPr>
            <w:r>
              <w:rPr>
                <w:sz w:val="18"/>
              </w:rPr>
              <w:t>02923</w:t>
            </w:r>
          </w:p>
        </w:tc>
        <w:tc>
          <w:tcPr>
            <w:tcW w:w="1860" w:type="dxa"/>
            <w:tcMar>
              <w:top w:w="0" w:type="dxa"/>
              <w:bottom w:w="0" w:type="dxa"/>
            </w:tcMar>
            <w:vAlign w:val="center"/>
          </w:tcPr>
          <w:p w14:paraId="26E1E0C4" w14:textId="77777777" w:rsidR="001539A9" w:rsidRDefault="00000000">
            <w:pPr>
              <w:keepNext/>
              <w:keepLines/>
              <w:spacing w:after="0" w:line="240" w:lineRule="auto"/>
              <w:jc w:val="right"/>
            </w:pPr>
            <w:r>
              <w:rPr>
                <w:sz w:val="18"/>
              </w:rPr>
              <w:t>10.353,49</w:t>
            </w:r>
          </w:p>
        </w:tc>
        <w:tc>
          <w:tcPr>
            <w:tcW w:w="1860" w:type="dxa"/>
            <w:tcMar>
              <w:top w:w="0" w:type="dxa"/>
              <w:bottom w:w="0" w:type="dxa"/>
            </w:tcMar>
            <w:vAlign w:val="center"/>
          </w:tcPr>
          <w:p w14:paraId="427892C0" w14:textId="77777777" w:rsidR="001539A9" w:rsidRDefault="00000000">
            <w:pPr>
              <w:keepNext/>
              <w:keepLines/>
              <w:spacing w:after="0" w:line="240" w:lineRule="auto"/>
              <w:jc w:val="right"/>
            </w:pPr>
            <w:r>
              <w:rPr>
                <w:sz w:val="18"/>
              </w:rPr>
              <w:t>13.711,38</w:t>
            </w:r>
          </w:p>
        </w:tc>
        <w:tc>
          <w:tcPr>
            <w:tcW w:w="700" w:type="dxa"/>
            <w:tcMar>
              <w:top w:w="0" w:type="dxa"/>
              <w:bottom w:w="0" w:type="dxa"/>
            </w:tcMar>
            <w:vAlign w:val="center"/>
          </w:tcPr>
          <w:p w14:paraId="26A29788" w14:textId="77777777" w:rsidR="001539A9" w:rsidRDefault="00000000">
            <w:pPr>
              <w:keepNext/>
              <w:keepLines/>
              <w:spacing w:after="0" w:line="240" w:lineRule="auto"/>
              <w:jc w:val="right"/>
            </w:pPr>
            <w:r>
              <w:rPr>
                <w:sz w:val="18"/>
              </w:rPr>
              <w:t>132,4</w:t>
            </w:r>
          </w:p>
        </w:tc>
      </w:tr>
    </w:tbl>
    <w:p w14:paraId="6D1F7FC8" w14:textId="77777777" w:rsidR="001539A9" w:rsidRDefault="001539A9">
      <w:pPr>
        <w:spacing w:after="0"/>
      </w:pPr>
    </w:p>
    <w:p w14:paraId="6C7602AE" w14:textId="77777777" w:rsidR="001539A9" w:rsidRDefault="00000000">
      <w:r>
        <w:t>Tijekom godine evidentirano je povećanje ispravka vrijednosti prijevoznih sredstava temeljem redovitog obračuna amortizacije.</w:t>
      </w:r>
    </w:p>
    <w:p w14:paraId="0651C420" w14:textId="77777777" w:rsidR="001539A9" w:rsidRDefault="001539A9"/>
    <w:p w14:paraId="09DDBD4B" w14:textId="77777777" w:rsidR="001539A9"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2AB8C2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B3AC88"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EE9F6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66A6A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15671C"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21675A"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86BACA" w14:textId="77777777" w:rsidR="001539A9" w:rsidRDefault="00000000">
            <w:pPr>
              <w:keepNext/>
              <w:keepLines/>
              <w:spacing w:after="0" w:line="240" w:lineRule="auto"/>
              <w:jc w:val="center"/>
            </w:pPr>
            <w:r>
              <w:rPr>
                <w:b/>
                <w:sz w:val="18"/>
              </w:rPr>
              <w:t>Indeks (%)</w:t>
            </w:r>
          </w:p>
        </w:tc>
      </w:tr>
      <w:tr w:rsidR="001539A9" w14:paraId="135A99FC" w14:textId="77777777">
        <w:tblPrEx>
          <w:tblCellMar>
            <w:top w:w="0" w:type="dxa"/>
            <w:bottom w:w="0" w:type="dxa"/>
          </w:tblCellMar>
        </w:tblPrEx>
        <w:trPr>
          <w:cantSplit/>
          <w:trHeight w:val="560"/>
        </w:trPr>
        <w:tc>
          <w:tcPr>
            <w:tcW w:w="700" w:type="dxa"/>
            <w:tcMar>
              <w:top w:w="0" w:type="dxa"/>
              <w:bottom w:w="0" w:type="dxa"/>
            </w:tcMar>
            <w:vAlign w:val="center"/>
          </w:tcPr>
          <w:p w14:paraId="0CFA6C49" w14:textId="77777777" w:rsidR="001539A9" w:rsidRDefault="00000000">
            <w:pPr>
              <w:keepNext/>
              <w:keepLines/>
              <w:spacing w:after="0" w:line="240" w:lineRule="auto"/>
            </w:pPr>
            <w:r>
              <w:rPr>
                <w:sz w:val="18"/>
              </w:rPr>
              <w:t>042</w:t>
            </w:r>
          </w:p>
        </w:tc>
        <w:tc>
          <w:tcPr>
            <w:tcW w:w="3180" w:type="dxa"/>
            <w:tcMar>
              <w:top w:w="0" w:type="dxa"/>
              <w:bottom w:w="0" w:type="dxa"/>
            </w:tcMar>
            <w:vAlign w:val="center"/>
          </w:tcPr>
          <w:p w14:paraId="7E18D906" w14:textId="77777777" w:rsidR="001539A9"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1A4AB757" w14:textId="77777777" w:rsidR="001539A9" w:rsidRDefault="00000000">
            <w:pPr>
              <w:keepNext/>
              <w:keepLines/>
              <w:spacing w:after="0" w:line="240" w:lineRule="auto"/>
            </w:pPr>
            <w:r>
              <w:rPr>
                <w:sz w:val="18"/>
              </w:rPr>
              <w:t>042</w:t>
            </w:r>
          </w:p>
        </w:tc>
        <w:tc>
          <w:tcPr>
            <w:tcW w:w="1860" w:type="dxa"/>
            <w:tcMar>
              <w:top w:w="0" w:type="dxa"/>
              <w:bottom w:w="0" w:type="dxa"/>
            </w:tcMar>
            <w:vAlign w:val="center"/>
          </w:tcPr>
          <w:p w14:paraId="3F683755" w14:textId="77777777" w:rsidR="001539A9" w:rsidRDefault="00000000">
            <w:pPr>
              <w:keepNext/>
              <w:keepLines/>
              <w:spacing w:after="0" w:line="240" w:lineRule="auto"/>
              <w:jc w:val="right"/>
            </w:pPr>
            <w:r>
              <w:rPr>
                <w:sz w:val="18"/>
              </w:rPr>
              <w:t>3.984,47</w:t>
            </w:r>
          </w:p>
        </w:tc>
        <w:tc>
          <w:tcPr>
            <w:tcW w:w="1860" w:type="dxa"/>
            <w:tcMar>
              <w:top w:w="0" w:type="dxa"/>
              <w:bottom w:w="0" w:type="dxa"/>
            </w:tcMar>
            <w:vAlign w:val="center"/>
          </w:tcPr>
          <w:p w14:paraId="1C1F9099" w14:textId="77777777" w:rsidR="001539A9" w:rsidRDefault="00000000">
            <w:pPr>
              <w:keepNext/>
              <w:keepLines/>
              <w:spacing w:after="0" w:line="240" w:lineRule="auto"/>
              <w:jc w:val="right"/>
            </w:pPr>
            <w:r>
              <w:rPr>
                <w:sz w:val="18"/>
              </w:rPr>
              <w:t>7.002,16</w:t>
            </w:r>
          </w:p>
        </w:tc>
        <w:tc>
          <w:tcPr>
            <w:tcW w:w="700" w:type="dxa"/>
            <w:tcMar>
              <w:top w:w="0" w:type="dxa"/>
              <w:bottom w:w="0" w:type="dxa"/>
            </w:tcMar>
            <w:vAlign w:val="center"/>
          </w:tcPr>
          <w:p w14:paraId="01FAF376" w14:textId="77777777" w:rsidR="001539A9" w:rsidRDefault="00000000">
            <w:pPr>
              <w:keepNext/>
              <w:keepLines/>
              <w:spacing w:after="0" w:line="240" w:lineRule="auto"/>
              <w:jc w:val="right"/>
            </w:pPr>
            <w:r>
              <w:rPr>
                <w:sz w:val="18"/>
              </w:rPr>
              <w:t>175,7</w:t>
            </w:r>
          </w:p>
        </w:tc>
      </w:tr>
    </w:tbl>
    <w:p w14:paraId="15D22128" w14:textId="77777777" w:rsidR="001539A9" w:rsidRDefault="001539A9">
      <w:pPr>
        <w:spacing w:after="0"/>
      </w:pPr>
    </w:p>
    <w:p w14:paraId="394EC663" w14:textId="77777777" w:rsidR="001539A9" w:rsidRDefault="00000000">
      <w:r>
        <w:t>Sitni inventar i autogume povećavaju se za 75% od 1. siječnja do 31. prosinca. Navedeni iznos odnosi se na 16 malih blagovaonskih stolica za klijente, na 2 magnetne ploče te na sitan uredski i kuhinjski inventar, zbog preseljenja u nove prostore.</w:t>
      </w:r>
    </w:p>
    <w:p w14:paraId="1E1D890D" w14:textId="77777777" w:rsidR="001539A9" w:rsidRDefault="001539A9"/>
    <w:p w14:paraId="6E1F7D54" w14:textId="77777777" w:rsidR="001539A9"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DEA2C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17F5E7"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417875"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6FCAA"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7EFA2"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80E695"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1A959B" w14:textId="77777777" w:rsidR="001539A9" w:rsidRDefault="00000000">
            <w:pPr>
              <w:keepNext/>
              <w:keepLines/>
              <w:spacing w:after="0" w:line="240" w:lineRule="auto"/>
              <w:jc w:val="center"/>
            </w:pPr>
            <w:r>
              <w:rPr>
                <w:b/>
                <w:sz w:val="18"/>
              </w:rPr>
              <w:t>Indeks (%)</w:t>
            </w:r>
          </w:p>
        </w:tc>
      </w:tr>
      <w:tr w:rsidR="001539A9" w14:paraId="37E382DA" w14:textId="77777777">
        <w:tblPrEx>
          <w:tblCellMar>
            <w:top w:w="0" w:type="dxa"/>
            <w:bottom w:w="0" w:type="dxa"/>
          </w:tblCellMar>
        </w:tblPrEx>
        <w:trPr>
          <w:cantSplit/>
          <w:trHeight w:val="560"/>
        </w:trPr>
        <w:tc>
          <w:tcPr>
            <w:tcW w:w="700" w:type="dxa"/>
            <w:tcMar>
              <w:top w:w="0" w:type="dxa"/>
              <w:bottom w:w="0" w:type="dxa"/>
            </w:tcMar>
            <w:vAlign w:val="center"/>
          </w:tcPr>
          <w:p w14:paraId="2BCC7293" w14:textId="77777777" w:rsidR="001539A9" w:rsidRDefault="00000000">
            <w:pPr>
              <w:keepNext/>
              <w:keepLines/>
              <w:spacing w:after="0" w:line="240" w:lineRule="auto"/>
            </w:pPr>
            <w:r>
              <w:rPr>
                <w:sz w:val="18"/>
              </w:rPr>
              <w:t>049</w:t>
            </w:r>
          </w:p>
        </w:tc>
        <w:tc>
          <w:tcPr>
            <w:tcW w:w="3180" w:type="dxa"/>
            <w:tcMar>
              <w:top w:w="0" w:type="dxa"/>
              <w:bottom w:w="0" w:type="dxa"/>
            </w:tcMar>
            <w:vAlign w:val="center"/>
          </w:tcPr>
          <w:p w14:paraId="5D543FA0" w14:textId="77777777" w:rsidR="001539A9" w:rsidRDefault="00000000">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0419CF3F" w14:textId="77777777" w:rsidR="001539A9" w:rsidRDefault="00000000">
            <w:pPr>
              <w:keepNext/>
              <w:keepLines/>
              <w:spacing w:after="0" w:line="240" w:lineRule="auto"/>
            </w:pPr>
            <w:r>
              <w:rPr>
                <w:sz w:val="18"/>
              </w:rPr>
              <w:t>049</w:t>
            </w:r>
          </w:p>
        </w:tc>
        <w:tc>
          <w:tcPr>
            <w:tcW w:w="1860" w:type="dxa"/>
            <w:tcMar>
              <w:top w:w="0" w:type="dxa"/>
              <w:bottom w:w="0" w:type="dxa"/>
            </w:tcMar>
            <w:vAlign w:val="center"/>
          </w:tcPr>
          <w:p w14:paraId="6D304980" w14:textId="77777777" w:rsidR="001539A9" w:rsidRDefault="00000000">
            <w:pPr>
              <w:keepNext/>
              <w:keepLines/>
              <w:spacing w:after="0" w:line="240" w:lineRule="auto"/>
              <w:jc w:val="right"/>
            </w:pPr>
            <w:r>
              <w:rPr>
                <w:sz w:val="18"/>
              </w:rPr>
              <w:t>3.984,47</w:t>
            </w:r>
          </w:p>
        </w:tc>
        <w:tc>
          <w:tcPr>
            <w:tcW w:w="1860" w:type="dxa"/>
            <w:tcMar>
              <w:top w:w="0" w:type="dxa"/>
              <w:bottom w:w="0" w:type="dxa"/>
            </w:tcMar>
            <w:vAlign w:val="center"/>
          </w:tcPr>
          <w:p w14:paraId="70809461" w14:textId="77777777" w:rsidR="001539A9" w:rsidRDefault="00000000">
            <w:pPr>
              <w:keepNext/>
              <w:keepLines/>
              <w:spacing w:after="0" w:line="240" w:lineRule="auto"/>
              <w:jc w:val="right"/>
            </w:pPr>
            <w:r>
              <w:rPr>
                <w:sz w:val="18"/>
              </w:rPr>
              <w:t>7.002,16</w:t>
            </w:r>
          </w:p>
        </w:tc>
        <w:tc>
          <w:tcPr>
            <w:tcW w:w="700" w:type="dxa"/>
            <w:tcMar>
              <w:top w:w="0" w:type="dxa"/>
              <w:bottom w:w="0" w:type="dxa"/>
            </w:tcMar>
            <w:vAlign w:val="center"/>
          </w:tcPr>
          <w:p w14:paraId="0FC94833" w14:textId="77777777" w:rsidR="001539A9" w:rsidRDefault="00000000">
            <w:pPr>
              <w:keepNext/>
              <w:keepLines/>
              <w:spacing w:after="0" w:line="240" w:lineRule="auto"/>
              <w:jc w:val="right"/>
            </w:pPr>
            <w:r>
              <w:rPr>
                <w:sz w:val="18"/>
              </w:rPr>
              <w:t>175,7</w:t>
            </w:r>
          </w:p>
        </w:tc>
      </w:tr>
    </w:tbl>
    <w:p w14:paraId="2E1FB31F" w14:textId="77777777" w:rsidR="001539A9" w:rsidRDefault="001539A9">
      <w:pPr>
        <w:spacing w:after="0"/>
      </w:pPr>
    </w:p>
    <w:p w14:paraId="11278282" w14:textId="77777777" w:rsidR="001539A9" w:rsidRDefault="00000000">
      <w:r>
        <w:t>Sukladno povećanju sitnog inventara, povećava se i ispravak vrijednosti sitnog inventara za isti iznos.</w:t>
      </w:r>
    </w:p>
    <w:p w14:paraId="33C66B53" w14:textId="77777777" w:rsidR="001539A9" w:rsidRDefault="001539A9"/>
    <w:p w14:paraId="5E102E89" w14:textId="77777777" w:rsidR="001539A9"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5BB85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D62060"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A4DE37"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DA790"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42395F"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9FC74F"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ADD45A" w14:textId="77777777" w:rsidR="001539A9" w:rsidRDefault="00000000">
            <w:pPr>
              <w:keepNext/>
              <w:keepLines/>
              <w:spacing w:after="0" w:line="240" w:lineRule="auto"/>
              <w:jc w:val="center"/>
            </w:pPr>
            <w:r>
              <w:rPr>
                <w:b/>
                <w:sz w:val="18"/>
              </w:rPr>
              <w:t>Indeks (%)</w:t>
            </w:r>
          </w:p>
        </w:tc>
      </w:tr>
      <w:tr w:rsidR="001539A9" w14:paraId="4EE2EE06" w14:textId="77777777">
        <w:tblPrEx>
          <w:tblCellMar>
            <w:top w:w="0" w:type="dxa"/>
            <w:bottom w:w="0" w:type="dxa"/>
          </w:tblCellMar>
        </w:tblPrEx>
        <w:trPr>
          <w:cantSplit/>
          <w:trHeight w:val="560"/>
        </w:trPr>
        <w:tc>
          <w:tcPr>
            <w:tcW w:w="700" w:type="dxa"/>
            <w:tcMar>
              <w:top w:w="0" w:type="dxa"/>
              <w:bottom w:w="0" w:type="dxa"/>
            </w:tcMar>
            <w:vAlign w:val="center"/>
          </w:tcPr>
          <w:p w14:paraId="493F9969" w14:textId="77777777" w:rsidR="001539A9" w:rsidRDefault="00000000">
            <w:pPr>
              <w:keepNext/>
              <w:keepLines/>
              <w:spacing w:after="0" w:line="240" w:lineRule="auto"/>
            </w:pPr>
            <w:r>
              <w:rPr>
                <w:sz w:val="18"/>
              </w:rPr>
              <w:t>1</w:t>
            </w:r>
          </w:p>
        </w:tc>
        <w:tc>
          <w:tcPr>
            <w:tcW w:w="3180" w:type="dxa"/>
            <w:tcMar>
              <w:top w:w="0" w:type="dxa"/>
              <w:bottom w:w="0" w:type="dxa"/>
            </w:tcMar>
            <w:vAlign w:val="center"/>
          </w:tcPr>
          <w:p w14:paraId="27ED1B40" w14:textId="77777777" w:rsidR="001539A9"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E3B3260" w14:textId="77777777" w:rsidR="001539A9" w:rsidRDefault="00000000">
            <w:pPr>
              <w:keepNext/>
              <w:keepLines/>
              <w:spacing w:after="0" w:line="240" w:lineRule="auto"/>
            </w:pPr>
            <w:r>
              <w:rPr>
                <w:sz w:val="18"/>
              </w:rPr>
              <w:t>1</w:t>
            </w:r>
          </w:p>
        </w:tc>
        <w:tc>
          <w:tcPr>
            <w:tcW w:w="1860" w:type="dxa"/>
            <w:tcMar>
              <w:top w:w="0" w:type="dxa"/>
              <w:bottom w:w="0" w:type="dxa"/>
            </w:tcMar>
            <w:vAlign w:val="center"/>
          </w:tcPr>
          <w:p w14:paraId="50087BB1" w14:textId="77777777" w:rsidR="001539A9" w:rsidRDefault="00000000">
            <w:pPr>
              <w:keepNext/>
              <w:keepLines/>
              <w:spacing w:after="0" w:line="240" w:lineRule="auto"/>
              <w:jc w:val="right"/>
            </w:pPr>
            <w:r>
              <w:rPr>
                <w:sz w:val="18"/>
              </w:rPr>
              <w:t>64.177,54</w:t>
            </w:r>
          </w:p>
        </w:tc>
        <w:tc>
          <w:tcPr>
            <w:tcW w:w="1860" w:type="dxa"/>
            <w:tcMar>
              <w:top w:w="0" w:type="dxa"/>
              <w:bottom w:w="0" w:type="dxa"/>
            </w:tcMar>
            <w:vAlign w:val="center"/>
          </w:tcPr>
          <w:p w14:paraId="707E27F0" w14:textId="77777777" w:rsidR="001539A9" w:rsidRDefault="00000000">
            <w:pPr>
              <w:keepNext/>
              <w:keepLines/>
              <w:spacing w:after="0" w:line="240" w:lineRule="auto"/>
              <w:jc w:val="right"/>
            </w:pPr>
            <w:r>
              <w:rPr>
                <w:sz w:val="18"/>
              </w:rPr>
              <w:t>64,92</w:t>
            </w:r>
          </w:p>
        </w:tc>
        <w:tc>
          <w:tcPr>
            <w:tcW w:w="700" w:type="dxa"/>
            <w:tcMar>
              <w:top w:w="0" w:type="dxa"/>
              <w:bottom w:w="0" w:type="dxa"/>
            </w:tcMar>
            <w:vAlign w:val="center"/>
          </w:tcPr>
          <w:p w14:paraId="32CF1EF2" w14:textId="77777777" w:rsidR="001539A9" w:rsidRDefault="00000000">
            <w:pPr>
              <w:keepNext/>
              <w:keepLines/>
              <w:spacing w:after="0" w:line="240" w:lineRule="auto"/>
              <w:jc w:val="right"/>
            </w:pPr>
            <w:r>
              <w:rPr>
                <w:sz w:val="18"/>
              </w:rPr>
              <w:t>0,1</w:t>
            </w:r>
          </w:p>
        </w:tc>
      </w:tr>
    </w:tbl>
    <w:p w14:paraId="72D23A49" w14:textId="77777777" w:rsidR="001539A9" w:rsidRDefault="001539A9">
      <w:pPr>
        <w:spacing w:after="0"/>
      </w:pPr>
    </w:p>
    <w:p w14:paraId="0613081F" w14:textId="77777777" w:rsidR="001539A9" w:rsidRDefault="00000000">
      <w:r>
        <w:t>Financijska imovina na početku izvještajnog razdoblja iznosila je 63.484,26 eura, dok na dan 30.12.2025. godine iznosi 0,00 eura. Razlog navedenog stanja je Novac na računu kod tuzemnih poslovnih banaka.</w:t>
      </w:r>
    </w:p>
    <w:p w14:paraId="232B3BA5" w14:textId="77777777" w:rsidR="001539A9" w:rsidRDefault="001539A9"/>
    <w:p w14:paraId="4C9BED20" w14:textId="77777777" w:rsidR="001539A9"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6E8C8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4C9B5"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1AD981"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6FEE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3DEA56"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53E033"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CCE137" w14:textId="77777777" w:rsidR="001539A9" w:rsidRDefault="00000000">
            <w:pPr>
              <w:keepNext/>
              <w:keepLines/>
              <w:spacing w:after="0" w:line="240" w:lineRule="auto"/>
              <w:jc w:val="center"/>
            </w:pPr>
            <w:r>
              <w:rPr>
                <w:b/>
                <w:sz w:val="18"/>
              </w:rPr>
              <w:t>Indeks (%)</w:t>
            </w:r>
          </w:p>
        </w:tc>
      </w:tr>
      <w:tr w:rsidR="001539A9" w14:paraId="2FF8ED3F" w14:textId="77777777">
        <w:tblPrEx>
          <w:tblCellMar>
            <w:top w:w="0" w:type="dxa"/>
            <w:bottom w:w="0" w:type="dxa"/>
          </w:tblCellMar>
        </w:tblPrEx>
        <w:trPr>
          <w:cantSplit/>
          <w:trHeight w:val="560"/>
        </w:trPr>
        <w:tc>
          <w:tcPr>
            <w:tcW w:w="700" w:type="dxa"/>
            <w:tcMar>
              <w:top w:w="0" w:type="dxa"/>
              <w:bottom w:w="0" w:type="dxa"/>
            </w:tcMar>
            <w:vAlign w:val="center"/>
          </w:tcPr>
          <w:p w14:paraId="5B704286" w14:textId="77777777" w:rsidR="001539A9" w:rsidRDefault="00000000">
            <w:pPr>
              <w:keepNext/>
              <w:keepLines/>
              <w:spacing w:after="0" w:line="240" w:lineRule="auto"/>
            </w:pPr>
            <w:r>
              <w:rPr>
                <w:sz w:val="18"/>
              </w:rPr>
              <w:t>1112</w:t>
            </w:r>
          </w:p>
        </w:tc>
        <w:tc>
          <w:tcPr>
            <w:tcW w:w="3180" w:type="dxa"/>
            <w:tcMar>
              <w:top w:w="0" w:type="dxa"/>
              <w:bottom w:w="0" w:type="dxa"/>
            </w:tcMar>
            <w:vAlign w:val="center"/>
          </w:tcPr>
          <w:p w14:paraId="7CB4EB36" w14:textId="77777777" w:rsidR="001539A9"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43B08355" w14:textId="77777777" w:rsidR="001539A9" w:rsidRDefault="00000000">
            <w:pPr>
              <w:keepNext/>
              <w:keepLines/>
              <w:spacing w:after="0" w:line="240" w:lineRule="auto"/>
            </w:pPr>
            <w:r>
              <w:rPr>
                <w:sz w:val="18"/>
              </w:rPr>
              <w:t>1112</w:t>
            </w:r>
          </w:p>
        </w:tc>
        <w:tc>
          <w:tcPr>
            <w:tcW w:w="1860" w:type="dxa"/>
            <w:tcMar>
              <w:top w:w="0" w:type="dxa"/>
              <w:bottom w:w="0" w:type="dxa"/>
            </w:tcMar>
            <w:vAlign w:val="center"/>
          </w:tcPr>
          <w:p w14:paraId="65AB3283" w14:textId="77777777" w:rsidR="001539A9" w:rsidRDefault="00000000">
            <w:pPr>
              <w:keepNext/>
              <w:keepLines/>
              <w:spacing w:after="0" w:line="240" w:lineRule="auto"/>
              <w:jc w:val="right"/>
            </w:pPr>
            <w:r>
              <w:rPr>
                <w:sz w:val="18"/>
              </w:rPr>
              <w:t>63.484,26</w:t>
            </w:r>
          </w:p>
        </w:tc>
        <w:tc>
          <w:tcPr>
            <w:tcW w:w="1860" w:type="dxa"/>
            <w:tcMar>
              <w:top w:w="0" w:type="dxa"/>
              <w:bottom w:w="0" w:type="dxa"/>
            </w:tcMar>
            <w:vAlign w:val="center"/>
          </w:tcPr>
          <w:p w14:paraId="73BDB53C"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4FDEC358" w14:textId="77777777" w:rsidR="001539A9" w:rsidRDefault="00000000">
            <w:pPr>
              <w:keepNext/>
              <w:keepLines/>
              <w:spacing w:after="0" w:line="240" w:lineRule="auto"/>
              <w:jc w:val="right"/>
            </w:pPr>
            <w:r>
              <w:rPr>
                <w:sz w:val="18"/>
              </w:rPr>
              <w:t>0</w:t>
            </w:r>
          </w:p>
        </w:tc>
      </w:tr>
    </w:tbl>
    <w:p w14:paraId="7BB26166" w14:textId="77777777" w:rsidR="001539A9" w:rsidRDefault="001539A9">
      <w:pPr>
        <w:spacing w:after="0"/>
      </w:pPr>
    </w:p>
    <w:p w14:paraId="054F8C41" w14:textId="77777777" w:rsidR="001539A9" w:rsidRDefault="00000000">
      <w:r>
        <w:t xml:space="preserve">Stanje novca na računu kod tuzemnih poslovnih banaka na početku izvještajnog razdoblja iznosilo je 63.484,26 eura, dok na dan 31.12.2025. godine iznosi 0,00 eura. Razlog navedenog stanja je ulazak Agencije u sustav riznice Grada Virovitice s danom 1.12.2025. godine. Sukladno navedenom, banka je preostala novčana sredstva s računa Agencije transferirala na </w:t>
      </w:r>
      <w:r>
        <w:lastRenderedPageBreak/>
        <w:t>žiroračun Grada Virovitice.</w:t>
      </w:r>
      <w:r>
        <w:br/>
        <w:t>Prenesena sredstva iznosila su 1.238,43 eura te su se u cijelosti odnosila na vlastite prihode, a evidentirana su na kontu 167210.</w:t>
      </w:r>
    </w:p>
    <w:p w14:paraId="57C45960" w14:textId="77777777" w:rsidR="001539A9" w:rsidRDefault="001539A9"/>
    <w:p w14:paraId="22A5A7D2" w14:textId="77777777" w:rsidR="001539A9"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30CDE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23E500"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15164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577FD"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913F4"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DF58D2"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5F60AE" w14:textId="77777777" w:rsidR="001539A9" w:rsidRDefault="00000000">
            <w:pPr>
              <w:keepNext/>
              <w:keepLines/>
              <w:spacing w:after="0" w:line="240" w:lineRule="auto"/>
              <w:jc w:val="center"/>
            </w:pPr>
            <w:r>
              <w:rPr>
                <w:b/>
                <w:sz w:val="18"/>
              </w:rPr>
              <w:t>Indeks (%)</w:t>
            </w:r>
          </w:p>
        </w:tc>
      </w:tr>
      <w:tr w:rsidR="001539A9" w14:paraId="4EB26F63" w14:textId="77777777">
        <w:tblPrEx>
          <w:tblCellMar>
            <w:top w:w="0" w:type="dxa"/>
            <w:bottom w:w="0" w:type="dxa"/>
          </w:tblCellMar>
        </w:tblPrEx>
        <w:trPr>
          <w:cantSplit/>
          <w:trHeight w:val="560"/>
        </w:trPr>
        <w:tc>
          <w:tcPr>
            <w:tcW w:w="700" w:type="dxa"/>
            <w:tcMar>
              <w:top w:w="0" w:type="dxa"/>
              <w:bottom w:w="0" w:type="dxa"/>
            </w:tcMar>
            <w:vAlign w:val="center"/>
          </w:tcPr>
          <w:p w14:paraId="4FC99EF3" w14:textId="77777777" w:rsidR="001539A9" w:rsidRDefault="00000000">
            <w:pPr>
              <w:keepNext/>
              <w:keepLines/>
              <w:spacing w:after="0" w:line="240" w:lineRule="auto"/>
            </w:pPr>
            <w:r>
              <w:rPr>
                <w:sz w:val="18"/>
              </w:rPr>
              <w:t>129</w:t>
            </w:r>
          </w:p>
        </w:tc>
        <w:tc>
          <w:tcPr>
            <w:tcW w:w="3180" w:type="dxa"/>
            <w:tcMar>
              <w:top w:w="0" w:type="dxa"/>
              <w:bottom w:w="0" w:type="dxa"/>
            </w:tcMar>
            <w:vAlign w:val="center"/>
          </w:tcPr>
          <w:p w14:paraId="04E3A33A" w14:textId="77777777" w:rsidR="001539A9" w:rsidRDefault="00000000">
            <w:pPr>
              <w:keepNext/>
              <w:keepLines/>
              <w:spacing w:after="0" w:line="240" w:lineRule="auto"/>
            </w:pPr>
            <w:r>
              <w:rPr>
                <w:sz w:val="18"/>
              </w:rPr>
              <w:t>Ostala potraživanja</w:t>
            </w:r>
          </w:p>
        </w:tc>
        <w:tc>
          <w:tcPr>
            <w:tcW w:w="700" w:type="dxa"/>
            <w:tcMar>
              <w:top w:w="0" w:type="dxa"/>
              <w:bottom w:w="0" w:type="dxa"/>
            </w:tcMar>
            <w:vAlign w:val="center"/>
          </w:tcPr>
          <w:p w14:paraId="2BF99E78" w14:textId="77777777" w:rsidR="001539A9" w:rsidRDefault="00000000">
            <w:pPr>
              <w:keepNext/>
              <w:keepLines/>
              <w:spacing w:after="0" w:line="240" w:lineRule="auto"/>
            </w:pPr>
            <w:r>
              <w:rPr>
                <w:sz w:val="18"/>
              </w:rPr>
              <w:t>129</w:t>
            </w:r>
          </w:p>
        </w:tc>
        <w:tc>
          <w:tcPr>
            <w:tcW w:w="1860" w:type="dxa"/>
            <w:tcMar>
              <w:top w:w="0" w:type="dxa"/>
              <w:bottom w:w="0" w:type="dxa"/>
            </w:tcMar>
            <w:vAlign w:val="center"/>
          </w:tcPr>
          <w:p w14:paraId="2241367D" w14:textId="77777777" w:rsidR="001539A9" w:rsidRDefault="00000000">
            <w:pPr>
              <w:keepNext/>
              <w:keepLines/>
              <w:spacing w:after="0" w:line="240" w:lineRule="auto"/>
              <w:jc w:val="right"/>
            </w:pPr>
            <w:r>
              <w:rPr>
                <w:sz w:val="18"/>
              </w:rPr>
              <w:t>693,28</w:t>
            </w:r>
          </w:p>
        </w:tc>
        <w:tc>
          <w:tcPr>
            <w:tcW w:w="1860" w:type="dxa"/>
            <w:tcMar>
              <w:top w:w="0" w:type="dxa"/>
              <w:bottom w:w="0" w:type="dxa"/>
            </w:tcMar>
            <w:vAlign w:val="center"/>
          </w:tcPr>
          <w:p w14:paraId="3AD42B88" w14:textId="77777777" w:rsidR="001539A9" w:rsidRDefault="00000000">
            <w:pPr>
              <w:keepNext/>
              <w:keepLines/>
              <w:spacing w:after="0" w:line="240" w:lineRule="auto"/>
              <w:jc w:val="right"/>
            </w:pPr>
            <w:r>
              <w:rPr>
                <w:sz w:val="18"/>
              </w:rPr>
              <w:t>64,92</w:t>
            </w:r>
          </w:p>
        </w:tc>
        <w:tc>
          <w:tcPr>
            <w:tcW w:w="700" w:type="dxa"/>
            <w:tcMar>
              <w:top w:w="0" w:type="dxa"/>
              <w:bottom w:w="0" w:type="dxa"/>
            </w:tcMar>
            <w:vAlign w:val="center"/>
          </w:tcPr>
          <w:p w14:paraId="7896DD3D" w14:textId="77777777" w:rsidR="001539A9" w:rsidRDefault="00000000">
            <w:pPr>
              <w:keepNext/>
              <w:keepLines/>
              <w:spacing w:after="0" w:line="240" w:lineRule="auto"/>
              <w:jc w:val="right"/>
            </w:pPr>
            <w:r>
              <w:rPr>
                <w:sz w:val="18"/>
              </w:rPr>
              <w:t>9,4</w:t>
            </w:r>
          </w:p>
        </w:tc>
      </w:tr>
    </w:tbl>
    <w:p w14:paraId="2E67F71E" w14:textId="77777777" w:rsidR="001539A9" w:rsidRDefault="001539A9">
      <w:pPr>
        <w:spacing w:after="0"/>
      </w:pPr>
    </w:p>
    <w:p w14:paraId="657FFEAE" w14:textId="77777777" w:rsidR="001539A9" w:rsidRDefault="00000000">
      <w:r>
        <w:t>Ostala potraživanja odnose se na potraživanja za naknadu bolovanja od HZZO-a, a smanjenje stanja posljedica je manjeg broja bolovanja djelatnika.</w:t>
      </w:r>
    </w:p>
    <w:p w14:paraId="7A5A4FAB" w14:textId="77777777" w:rsidR="001539A9" w:rsidRDefault="001539A9"/>
    <w:p w14:paraId="75AF59FD" w14:textId="77777777" w:rsidR="001539A9"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16201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1C3D50"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691063"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67623"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F0431"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209FB8"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9C4077" w14:textId="77777777" w:rsidR="001539A9" w:rsidRDefault="00000000">
            <w:pPr>
              <w:keepNext/>
              <w:keepLines/>
              <w:spacing w:after="0" w:line="240" w:lineRule="auto"/>
              <w:jc w:val="center"/>
            </w:pPr>
            <w:r>
              <w:rPr>
                <w:b/>
                <w:sz w:val="18"/>
              </w:rPr>
              <w:t>Indeks (%)</w:t>
            </w:r>
          </w:p>
        </w:tc>
      </w:tr>
      <w:tr w:rsidR="001539A9" w14:paraId="6D154F56" w14:textId="77777777">
        <w:tblPrEx>
          <w:tblCellMar>
            <w:top w:w="0" w:type="dxa"/>
            <w:bottom w:w="0" w:type="dxa"/>
          </w:tblCellMar>
        </w:tblPrEx>
        <w:trPr>
          <w:cantSplit/>
          <w:trHeight w:val="560"/>
        </w:trPr>
        <w:tc>
          <w:tcPr>
            <w:tcW w:w="700" w:type="dxa"/>
            <w:tcMar>
              <w:top w:w="0" w:type="dxa"/>
              <w:bottom w:w="0" w:type="dxa"/>
            </w:tcMar>
            <w:vAlign w:val="center"/>
          </w:tcPr>
          <w:p w14:paraId="57DAB7A7" w14:textId="77777777" w:rsidR="001539A9" w:rsidRDefault="001539A9">
            <w:pPr>
              <w:keepNext/>
              <w:keepLines/>
              <w:spacing w:after="0" w:line="240" w:lineRule="auto"/>
            </w:pPr>
          </w:p>
        </w:tc>
        <w:tc>
          <w:tcPr>
            <w:tcW w:w="3180" w:type="dxa"/>
            <w:tcMar>
              <w:top w:w="0" w:type="dxa"/>
              <w:bottom w:w="0" w:type="dxa"/>
            </w:tcMar>
            <w:vAlign w:val="center"/>
          </w:tcPr>
          <w:p w14:paraId="7CC4797A" w14:textId="77777777" w:rsidR="001539A9"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1875282C" w14:textId="77777777" w:rsidR="001539A9" w:rsidRDefault="00000000">
            <w:pPr>
              <w:keepNext/>
              <w:keepLines/>
              <w:spacing w:after="0" w:line="240" w:lineRule="auto"/>
            </w:pPr>
            <w:r>
              <w:rPr>
                <w:sz w:val="18"/>
              </w:rPr>
              <w:t>B003</w:t>
            </w:r>
          </w:p>
        </w:tc>
        <w:tc>
          <w:tcPr>
            <w:tcW w:w="1860" w:type="dxa"/>
            <w:tcMar>
              <w:top w:w="0" w:type="dxa"/>
              <w:bottom w:w="0" w:type="dxa"/>
            </w:tcMar>
            <w:vAlign w:val="center"/>
          </w:tcPr>
          <w:p w14:paraId="6192D45C" w14:textId="77777777" w:rsidR="001539A9" w:rsidRDefault="00000000">
            <w:pPr>
              <w:keepNext/>
              <w:keepLines/>
              <w:spacing w:after="0" w:line="240" w:lineRule="auto"/>
              <w:jc w:val="right"/>
            </w:pPr>
            <w:r>
              <w:rPr>
                <w:sz w:val="18"/>
              </w:rPr>
              <w:t>80.168,10</w:t>
            </w:r>
          </w:p>
        </w:tc>
        <w:tc>
          <w:tcPr>
            <w:tcW w:w="1860" w:type="dxa"/>
            <w:tcMar>
              <w:top w:w="0" w:type="dxa"/>
              <w:bottom w:w="0" w:type="dxa"/>
            </w:tcMar>
            <w:vAlign w:val="center"/>
          </w:tcPr>
          <w:p w14:paraId="58E9A5FC" w14:textId="77777777" w:rsidR="001539A9" w:rsidRDefault="00000000">
            <w:pPr>
              <w:keepNext/>
              <w:keepLines/>
              <w:spacing w:after="0" w:line="240" w:lineRule="auto"/>
              <w:jc w:val="right"/>
            </w:pPr>
            <w:r>
              <w:rPr>
                <w:sz w:val="18"/>
              </w:rPr>
              <w:t>22.282,05</w:t>
            </w:r>
          </w:p>
        </w:tc>
        <w:tc>
          <w:tcPr>
            <w:tcW w:w="700" w:type="dxa"/>
            <w:tcMar>
              <w:top w:w="0" w:type="dxa"/>
              <w:bottom w:w="0" w:type="dxa"/>
            </w:tcMar>
            <w:vAlign w:val="center"/>
          </w:tcPr>
          <w:p w14:paraId="1691A937" w14:textId="77777777" w:rsidR="001539A9" w:rsidRDefault="00000000">
            <w:pPr>
              <w:keepNext/>
              <w:keepLines/>
              <w:spacing w:after="0" w:line="240" w:lineRule="auto"/>
              <w:jc w:val="right"/>
            </w:pPr>
            <w:r>
              <w:rPr>
                <w:sz w:val="18"/>
              </w:rPr>
              <w:t>27,8</w:t>
            </w:r>
          </w:p>
        </w:tc>
      </w:tr>
    </w:tbl>
    <w:p w14:paraId="65918476" w14:textId="77777777" w:rsidR="001539A9" w:rsidRDefault="001539A9">
      <w:pPr>
        <w:spacing w:after="0"/>
      </w:pPr>
    </w:p>
    <w:p w14:paraId="1A938434" w14:textId="77777777" w:rsidR="001539A9" w:rsidRDefault="00000000">
      <w:r>
        <w:t>Značajno smanjenje ukupne pasive posljedica je ulaska Agencije u sustav riznice Grada Virovitice tijekom izvještajnog razdoblja, pri čemu su novčana sredstva dotadašnjeg žiroračuna evidentirana u sustavu riznice Grada.</w:t>
      </w:r>
    </w:p>
    <w:p w14:paraId="2843707F" w14:textId="77777777" w:rsidR="001539A9" w:rsidRDefault="001539A9"/>
    <w:p w14:paraId="3E3F750E" w14:textId="77777777" w:rsidR="001539A9"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6C9090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A676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DE125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37737"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1555E"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24CF91"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3BAE0A" w14:textId="77777777" w:rsidR="001539A9" w:rsidRDefault="00000000">
            <w:pPr>
              <w:keepNext/>
              <w:keepLines/>
              <w:spacing w:after="0" w:line="240" w:lineRule="auto"/>
              <w:jc w:val="center"/>
            </w:pPr>
            <w:r>
              <w:rPr>
                <w:b/>
                <w:sz w:val="18"/>
              </w:rPr>
              <w:t>Indeks (%)</w:t>
            </w:r>
          </w:p>
        </w:tc>
      </w:tr>
      <w:tr w:rsidR="001539A9" w14:paraId="6796CD92" w14:textId="77777777">
        <w:tblPrEx>
          <w:tblCellMar>
            <w:top w:w="0" w:type="dxa"/>
            <w:bottom w:w="0" w:type="dxa"/>
          </w:tblCellMar>
        </w:tblPrEx>
        <w:trPr>
          <w:cantSplit/>
          <w:trHeight w:val="560"/>
        </w:trPr>
        <w:tc>
          <w:tcPr>
            <w:tcW w:w="700" w:type="dxa"/>
            <w:tcMar>
              <w:top w:w="0" w:type="dxa"/>
              <w:bottom w:w="0" w:type="dxa"/>
            </w:tcMar>
            <w:vAlign w:val="center"/>
          </w:tcPr>
          <w:p w14:paraId="010804B1" w14:textId="77777777" w:rsidR="001539A9" w:rsidRDefault="00000000">
            <w:pPr>
              <w:keepNext/>
              <w:keepLines/>
              <w:spacing w:after="0" w:line="240" w:lineRule="auto"/>
            </w:pPr>
            <w:r>
              <w:rPr>
                <w:sz w:val="18"/>
              </w:rPr>
              <w:t>2</w:t>
            </w:r>
          </w:p>
        </w:tc>
        <w:tc>
          <w:tcPr>
            <w:tcW w:w="3180" w:type="dxa"/>
            <w:tcMar>
              <w:top w:w="0" w:type="dxa"/>
              <w:bottom w:w="0" w:type="dxa"/>
            </w:tcMar>
            <w:vAlign w:val="center"/>
          </w:tcPr>
          <w:p w14:paraId="2BA8BC50" w14:textId="77777777" w:rsidR="001539A9" w:rsidRDefault="00000000">
            <w:pPr>
              <w:keepNext/>
              <w:keepLines/>
              <w:spacing w:after="0" w:line="240" w:lineRule="auto"/>
            </w:pPr>
            <w:r>
              <w:rPr>
                <w:sz w:val="18"/>
              </w:rPr>
              <w:t>Obveze (šifre 23+24+25+26+27+29)</w:t>
            </w:r>
          </w:p>
        </w:tc>
        <w:tc>
          <w:tcPr>
            <w:tcW w:w="700" w:type="dxa"/>
            <w:tcMar>
              <w:top w:w="0" w:type="dxa"/>
              <w:bottom w:w="0" w:type="dxa"/>
            </w:tcMar>
            <w:vAlign w:val="center"/>
          </w:tcPr>
          <w:p w14:paraId="034D23E1" w14:textId="77777777" w:rsidR="001539A9" w:rsidRDefault="00000000">
            <w:pPr>
              <w:keepNext/>
              <w:keepLines/>
              <w:spacing w:after="0" w:line="240" w:lineRule="auto"/>
            </w:pPr>
            <w:r>
              <w:rPr>
                <w:sz w:val="18"/>
              </w:rPr>
              <w:t>2</w:t>
            </w:r>
          </w:p>
        </w:tc>
        <w:tc>
          <w:tcPr>
            <w:tcW w:w="1860" w:type="dxa"/>
            <w:tcMar>
              <w:top w:w="0" w:type="dxa"/>
              <w:bottom w:w="0" w:type="dxa"/>
            </w:tcMar>
            <w:vAlign w:val="center"/>
          </w:tcPr>
          <w:p w14:paraId="41663369" w14:textId="77777777" w:rsidR="001539A9" w:rsidRDefault="00000000">
            <w:pPr>
              <w:keepNext/>
              <w:keepLines/>
              <w:spacing w:after="0" w:line="240" w:lineRule="auto"/>
              <w:jc w:val="right"/>
            </w:pPr>
            <w:r>
              <w:rPr>
                <w:sz w:val="18"/>
              </w:rPr>
              <w:t>62.245,29</w:t>
            </w:r>
          </w:p>
        </w:tc>
        <w:tc>
          <w:tcPr>
            <w:tcW w:w="1860" w:type="dxa"/>
            <w:tcMar>
              <w:top w:w="0" w:type="dxa"/>
              <w:bottom w:w="0" w:type="dxa"/>
            </w:tcMar>
            <w:vAlign w:val="center"/>
          </w:tcPr>
          <w:p w14:paraId="08CF1BFA" w14:textId="77777777" w:rsidR="001539A9" w:rsidRDefault="00000000">
            <w:pPr>
              <w:keepNext/>
              <w:keepLines/>
              <w:spacing w:after="0" w:line="240" w:lineRule="auto"/>
              <w:jc w:val="right"/>
            </w:pPr>
            <w:r>
              <w:rPr>
                <w:sz w:val="18"/>
              </w:rPr>
              <w:t>55.672,37</w:t>
            </w:r>
          </w:p>
        </w:tc>
        <w:tc>
          <w:tcPr>
            <w:tcW w:w="700" w:type="dxa"/>
            <w:tcMar>
              <w:top w:w="0" w:type="dxa"/>
              <w:bottom w:w="0" w:type="dxa"/>
            </w:tcMar>
            <w:vAlign w:val="center"/>
          </w:tcPr>
          <w:p w14:paraId="0C7109EF" w14:textId="77777777" w:rsidR="001539A9" w:rsidRDefault="00000000">
            <w:pPr>
              <w:keepNext/>
              <w:keepLines/>
              <w:spacing w:after="0" w:line="240" w:lineRule="auto"/>
              <w:jc w:val="right"/>
            </w:pPr>
            <w:r>
              <w:rPr>
                <w:sz w:val="18"/>
              </w:rPr>
              <w:t>89,4</w:t>
            </w:r>
          </w:p>
        </w:tc>
      </w:tr>
    </w:tbl>
    <w:p w14:paraId="1F593946" w14:textId="77777777" w:rsidR="001539A9" w:rsidRDefault="001539A9">
      <w:pPr>
        <w:spacing w:after="0"/>
      </w:pPr>
    </w:p>
    <w:p w14:paraId="3CF70719" w14:textId="77777777" w:rsidR="001539A9" w:rsidRDefault="00000000">
      <w:r>
        <w:t>Ukupne obveze na početku izvještajnog razdoblja iznosile su 62.245,29 eura, dok na kraju izvještajnog razdoblja iznose 55.672,37 eura. Smanjenje ukupnih obveza rezultat je smanjenja obveza za zaposlene te ostalih kratkoročnih obveza tijekom izvještajnog razdoblja.</w:t>
      </w:r>
    </w:p>
    <w:p w14:paraId="6BD82DA9" w14:textId="77777777" w:rsidR="001539A9" w:rsidRDefault="001539A9"/>
    <w:p w14:paraId="5F5C9598" w14:textId="77777777" w:rsidR="001539A9"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1CC2DC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E3C2F4"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BB0992"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AF47E"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24012"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D0B227"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4F642C" w14:textId="77777777" w:rsidR="001539A9" w:rsidRDefault="00000000">
            <w:pPr>
              <w:keepNext/>
              <w:keepLines/>
              <w:spacing w:after="0" w:line="240" w:lineRule="auto"/>
              <w:jc w:val="center"/>
            </w:pPr>
            <w:r>
              <w:rPr>
                <w:b/>
                <w:sz w:val="18"/>
              </w:rPr>
              <w:t>Indeks (%)</w:t>
            </w:r>
          </w:p>
        </w:tc>
      </w:tr>
      <w:tr w:rsidR="001539A9" w14:paraId="02760105" w14:textId="77777777">
        <w:tblPrEx>
          <w:tblCellMar>
            <w:top w:w="0" w:type="dxa"/>
            <w:bottom w:w="0" w:type="dxa"/>
          </w:tblCellMar>
        </w:tblPrEx>
        <w:trPr>
          <w:cantSplit/>
          <w:trHeight w:val="560"/>
        </w:trPr>
        <w:tc>
          <w:tcPr>
            <w:tcW w:w="700" w:type="dxa"/>
            <w:tcMar>
              <w:top w:w="0" w:type="dxa"/>
              <w:bottom w:w="0" w:type="dxa"/>
            </w:tcMar>
            <w:vAlign w:val="center"/>
          </w:tcPr>
          <w:p w14:paraId="7A8A5A86" w14:textId="77777777" w:rsidR="001539A9" w:rsidRDefault="00000000">
            <w:pPr>
              <w:keepNext/>
              <w:keepLines/>
              <w:spacing w:after="0" w:line="240" w:lineRule="auto"/>
            </w:pPr>
            <w:r>
              <w:rPr>
                <w:sz w:val="18"/>
              </w:rPr>
              <w:t>231</w:t>
            </w:r>
          </w:p>
        </w:tc>
        <w:tc>
          <w:tcPr>
            <w:tcW w:w="3180" w:type="dxa"/>
            <w:tcMar>
              <w:top w:w="0" w:type="dxa"/>
              <w:bottom w:w="0" w:type="dxa"/>
            </w:tcMar>
            <w:vAlign w:val="center"/>
          </w:tcPr>
          <w:p w14:paraId="28BFBDBE" w14:textId="77777777" w:rsidR="001539A9" w:rsidRDefault="00000000">
            <w:pPr>
              <w:keepNext/>
              <w:keepLines/>
              <w:spacing w:after="0" w:line="240" w:lineRule="auto"/>
            </w:pPr>
            <w:r>
              <w:rPr>
                <w:sz w:val="18"/>
              </w:rPr>
              <w:t>Obveze za zaposlene</w:t>
            </w:r>
          </w:p>
        </w:tc>
        <w:tc>
          <w:tcPr>
            <w:tcW w:w="700" w:type="dxa"/>
            <w:tcMar>
              <w:top w:w="0" w:type="dxa"/>
              <w:bottom w:w="0" w:type="dxa"/>
            </w:tcMar>
            <w:vAlign w:val="center"/>
          </w:tcPr>
          <w:p w14:paraId="5EDEEDA0" w14:textId="77777777" w:rsidR="001539A9" w:rsidRDefault="00000000">
            <w:pPr>
              <w:keepNext/>
              <w:keepLines/>
              <w:spacing w:after="0" w:line="240" w:lineRule="auto"/>
            </w:pPr>
            <w:r>
              <w:rPr>
                <w:sz w:val="18"/>
              </w:rPr>
              <w:t>231</w:t>
            </w:r>
          </w:p>
        </w:tc>
        <w:tc>
          <w:tcPr>
            <w:tcW w:w="1860" w:type="dxa"/>
            <w:tcMar>
              <w:top w:w="0" w:type="dxa"/>
              <w:bottom w:w="0" w:type="dxa"/>
            </w:tcMar>
            <w:vAlign w:val="center"/>
          </w:tcPr>
          <w:p w14:paraId="294EF788" w14:textId="77777777" w:rsidR="001539A9" w:rsidRDefault="00000000">
            <w:pPr>
              <w:keepNext/>
              <w:keepLines/>
              <w:spacing w:after="0" w:line="240" w:lineRule="auto"/>
              <w:jc w:val="right"/>
            </w:pPr>
            <w:r>
              <w:rPr>
                <w:sz w:val="18"/>
              </w:rPr>
              <w:t>54.519,94</w:t>
            </w:r>
          </w:p>
        </w:tc>
        <w:tc>
          <w:tcPr>
            <w:tcW w:w="1860" w:type="dxa"/>
            <w:tcMar>
              <w:top w:w="0" w:type="dxa"/>
              <w:bottom w:w="0" w:type="dxa"/>
            </w:tcMar>
            <w:vAlign w:val="center"/>
          </w:tcPr>
          <w:p w14:paraId="557ADF2B" w14:textId="77777777" w:rsidR="001539A9" w:rsidRDefault="00000000">
            <w:pPr>
              <w:keepNext/>
              <w:keepLines/>
              <w:spacing w:after="0" w:line="240" w:lineRule="auto"/>
              <w:jc w:val="right"/>
            </w:pPr>
            <w:r>
              <w:rPr>
                <w:sz w:val="18"/>
              </w:rPr>
              <w:t>49.828,82</w:t>
            </w:r>
          </w:p>
        </w:tc>
        <w:tc>
          <w:tcPr>
            <w:tcW w:w="700" w:type="dxa"/>
            <w:tcMar>
              <w:top w:w="0" w:type="dxa"/>
              <w:bottom w:w="0" w:type="dxa"/>
            </w:tcMar>
            <w:vAlign w:val="center"/>
          </w:tcPr>
          <w:p w14:paraId="65D04864" w14:textId="77777777" w:rsidR="001539A9" w:rsidRDefault="00000000">
            <w:pPr>
              <w:keepNext/>
              <w:keepLines/>
              <w:spacing w:after="0" w:line="240" w:lineRule="auto"/>
              <w:jc w:val="right"/>
            </w:pPr>
            <w:r>
              <w:rPr>
                <w:sz w:val="18"/>
              </w:rPr>
              <w:t>91,4</w:t>
            </w:r>
          </w:p>
        </w:tc>
      </w:tr>
    </w:tbl>
    <w:p w14:paraId="0411C462" w14:textId="77777777" w:rsidR="001539A9" w:rsidRDefault="001539A9">
      <w:pPr>
        <w:spacing w:after="0"/>
      </w:pPr>
    </w:p>
    <w:p w14:paraId="38A7937C" w14:textId="77777777" w:rsidR="001539A9" w:rsidRDefault="00000000">
      <w:r>
        <w:t>Obveze za zaposlene na početku izvještajnog razdoblja iznosile su 54.519,94 eura, dok na kraju izvještajnog razdoblja iznose 49.828,82 eura. Smanjenje obveza rezultat je promjena u strukturi zaposlenika vezanih uz korištenje prava na rodiljni i roditeljski dopust tijekom izvještajnog razdoblja.</w:t>
      </w:r>
    </w:p>
    <w:p w14:paraId="0FD1C924" w14:textId="77777777" w:rsidR="001539A9" w:rsidRDefault="001539A9"/>
    <w:p w14:paraId="7E1E311B" w14:textId="77777777" w:rsidR="001539A9"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51E8FB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EE080"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078CE7"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5642B"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08ED4"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042040"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560ACB" w14:textId="77777777" w:rsidR="001539A9" w:rsidRDefault="00000000">
            <w:pPr>
              <w:keepNext/>
              <w:keepLines/>
              <w:spacing w:after="0" w:line="240" w:lineRule="auto"/>
              <w:jc w:val="center"/>
            </w:pPr>
            <w:r>
              <w:rPr>
                <w:b/>
                <w:sz w:val="18"/>
              </w:rPr>
              <w:t>Indeks (%)</w:t>
            </w:r>
          </w:p>
        </w:tc>
      </w:tr>
      <w:tr w:rsidR="001539A9" w14:paraId="3B85B3EB" w14:textId="77777777">
        <w:tblPrEx>
          <w:tblCellMar>
            <w:top w:w="0" w:type="dxa"/>
            <w:bottom w:w="0" w:type="dxa"/>
          </w:tblCellMar>
        </w:tblPrEx>
        <w:trPr>
          <w:cantSplit/>
          <w:trHeight w:val="560"/>
        </w:trPr>
        <w:tc>
          <w:tcPr>
            <w:tcW w:w="700" w:type="dxa"/>
            <w:tcMar>
              <w:top w:w="0" w:type="dxa"/>
              <w:bottom w:w="0" w:type="dxa"/>
            </w:tcMar>
            <w:vAlign w:val="center"/>
          </w:tcPr>
          <w:p w14:paraId="72143444" w14:textId="77777777" w:rsidR="001539A9" w:rsidRDefault="00000000">
            <w:pPr>
              <w:keepNext/>
              <w:keepLines/>
              <w:spacing w:after="0" w:line="240" w:lineRule="auto"/>
            </w:pPr>
            <w:r>
              <w:rPr>
                <w:sz w:val="18"/>
              </w:rPr>
              <w:t>232</w:t>
            </w:r>
          </w:p>
        </w:tc>
        <w:tc>
          <w:tcPr>
            <w:tcW w:w="3180" w:type="dxa"/>
            <w:tcMar>
              <w:top w:w="0" w:type="dxa"/>
              <w:bottom w:w="0" w:type="dxa"/>
            </w:tcMar>
            <w:vAlign w:val="center"/>
          </w:tcPr>
          <w:p w14:paraId="0C25F7C3" w14:textId="77777777" w:rsidR="001539A9"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79EAC6A" w14:textId="77777777" w:rsidR="001539A9" w:rsidRDefault="00000000">
            <w:pPr>
              <w:keepNext/>
              <w:keepLines/>
              <w:spacing w:after="0" w:line="240" w:lineRule="auto"/>
            </w:pPr>
            <w:r>
              <w:rPr>
                <w:sz w:val="18"/>
              </w:rPr>
              <w:t>232</w:t>
            </w:r>
          </w:p>
        </w:tc>
        <w:tc>
          <w:tcPr>
            <w:tcW w:w="1860" w:type="dxa"/>
            <w:tcMar>
              <w:top w:w="0" w:type="dxa"/>
              <w:bottom w:w="0" w:type="dxa"/>
            </w:tcMar>
            <w:vAlign w:val="center"/>
          </w:tcPr>
          <w:p w14:paraId="0D49174F" w14:textId="77777777" w:rsidR="001539A9" w:rsidRDefault="00000000">
            <w:pPr>
              <w:keepNext/>
              <w:keepLines/>
              <w:spacing w:after="0" w:line="240" w:lineRule="auto"/>
              <w:jc w:val="right"/>
            </w:pPr>
            <w:r>
              <w:rPr>
                <w:sz w:val="18"/>
              </w:rPr>
              <w:t>4.794,70</w:t>
            </w:r>
          </w:p>
        </w:tc>
        <w:tc>
          <w:tcPr>
            <w:tcW w:w="1860" w:type="dxa"/>
            <w:tcMar>
              <w:top w:w="0" w:type="dxa"/>
              <w:bottom w:w="0" w:type="dxa"/>
            </w:tcMar>
            <w:vAlign w:val="center"/>
          </w:tcPr>
          <w:p w14:paraId="480FD909" w14:textId="77777777" w:rsidR="001539A9" w:rsidRDefault="00000000">
            <w:pPr>
              <w:keepNext/>
              <w:keepLines/>
              <w:spacing w:after="0" w:line="240" w:lineRule="auto"/>
              <w:jc w:val="right"/>
            </w:pPr>
            <w:r>
              <w:rPr>
                <w:sz w:val="18"/>
              </w:rPr>
              <w:t>5.315,92</w:t>
            </w:r>
          </w:p>
        </w:tc>
        <w:tc>
          <w:tcPr>
            <w:tcW w:w="700" w:type="dxa"/>
            <w:tcMar>
              <w:top w:w="0" w:type="dxa"/>
              <w:bottom w:w="0" w:type="dxa"/>
            </w:tcMar>
            <w:vAlign w:val="center"/>
          </w:tcPr>
          <w:p w14:paraId="230615F9" w14:textId="77777777" w:rsidR="001539A9" w:rsidRDefault="00000000">
            <w:pPr>
              <w:keepNext/>
              <w:keepLines/>
              <w:spacing w:after="0" w:line="240" w:lineRule="auto"/>
              <w:jc w:val="right"/>
            </w:pPr>
            <w:r>
              <w:rPr>
                <w:sz w:val="18"/>
              </w:rPr>
              <w:t>110,9</w:t>
            </w:r>
          </w:p>
        </w:tc>
      </w:tr>
    </w:tbl>
    <w:p w14:paraId="13541CA2" w14:textId="77777777" w:rsidR="001539A9" w:rsidRDefault="001539A9">
      <w:pPr>
        <w:spacing w:after="0"/>
      </w:pPr>
    </w:p>
    <w:p w14:paraId="1CDB39A9" w14:textId="77777777" w:rsidR="001539A9" w:rsidRDefault="00000000">
      <w:r>
        <w:t>Obveze za materijalne rashode na početku izvještajnog razdoblja iznosile su 4.794,70 eura, dok na kraju izvještajnog razdoblja iznose 5.315,92 eura. Povećanje obveza odnosi se na materijalne rashode koji su nastali tijekom izvještajnog razdoblja, a plaćeni su u 2026. godini.</w:t>
      </w:r>
    </w:p>
    <w:p w14:paraId="213FD4D3" w14:textId="77777777" w:rsidR="001539A9" w:rsidRDefault="001539A9"/>
    <w:p w14:paraId="28D4609F" w14:textId="77777777" w:rsidR="001539A9"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26A5B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B6F8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43727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B8EB5"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E8E2B"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D0EE5A"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54A760" w14:textId="77777777" w:rsidR="001539A9" w:rsidRDefault="00000000">
            <w:pPr>
              <w:keepNext/>
              <w:keepLines/>
              <w:spacing w:after="0" w:line="240" w:lineRule="auto"/>
              <w:jc w:val="center"/>
            </w:pPr>
            <w:r>
              <w:rPr>
                <w:b/>
                <w:sz w:val="18"/>
              </w:rPr>
              <w:t>Indeks (%)</w:t>
            </w:r>
          </w:p>
        </w:tc>
      </w:tr>
      <w:tr w:rsidR="001539A9" w14:paraId="3DE31311" w14:textId="77777777">
        <w:tblPrEx>
          <w:tblCellMar>
            <w:top w:w="0" w:type="dxa"/>
            <w:bottom w:w="0" w:type="dxa"/>
          </w:tblCellMar>
        </w:tblPrEx>
        <w:trPr>
          <w:cantSplit/>
          <w:trHeight w:val="560"/>
        </w:trPr>
        <w:tc>
          <w:tcPr>
            <w:tcW w:w="700" w:type="dxa"/>
            <w:tcMar>
              <w:top w:w="0" w:type="dxa"/>
              <w:bottom w:w="0" w:type="dxa"/>
            </w:tcMar>
            <w:vAlign w:val="center"/>
          </w:tcPr>
          <w:p w14:paraId="3E341FAC" w14:textId="77777777" w:rsidR="001539A9" w:rsidRDefault="00000000">
            <w:pPr>
              <w:keepNext/>
              <w:keepLines/>
              <w:spacing w:after="0" w:line="240" w:lineRule="auto"/>
            </w:pPr>
            <w:r>
              <w:rPr>
                <w:sz w:val="18"/>
              </w:rPr>
              <w:t>27</w:t>
            </w:r>
          </w:p>
        </w:tc>
        <w:tc>
          <w:tcPr>
            <w:tcW w:w="3180" w:type="dxa"/>
            <w:tcMar>
              <w:top w:w="0" w:type="dxa"/>
              <w:bottom w:w="0" w:type="dxa"/>
            </w:tcMar>
            <w:vAlign w:val="center"/>
          </w:tcPr>
          <w:p w14:paraId="70AFDDB3" w14:textId="77777777" w:rsidR="001539A9"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5D92287" w14:textId="77777777" w:rsidR="001539A9" w:rsidRDefault="00000000">
            <w:pPr>
              <w:keepNext/>
              <w:keepLines/>
              <w:spacing w:after="0" w:line="240" w:lineRule="auto"/>
            </w:pPr>
            <w:r>
              <w:rPr>
                <w:sz w:val="18"/>
              </w:rPr>
              <w:t>27</w:t>
            </w:r>
          </w:p>
        </w:tc>
        <w:tc>
          <w:tcPr>
            <w:tcW w:w="1860" w:type="dxa"/>
            <w:tcMar>
              <w:top w:w="0" w:type="dxa"/>
              <w:bottom w:w="0" w:type="dxa"/>
            </w:tcMar>
            <w:vAlign w:val="center"/>
          </w:tcPr>
          <w:p w14:paraId="160E4A52" w14:textId="77777777" w:rsidR="001539A9" w:rsidRDefault="00000000">
            <w:pPr>
              <w:keepNext/>
              <w:keepLines/>
              <w:spacing w:after="0" w:line="240" w:lineRule="auto"/>
              <w:jc w:val="right"/>
            </w:pPr>
            <w:r>
              <w:rPr>
                <w:sz w:val="18"/>
              </w:rPr>
              <w:t>2.857,49</w:t>
            </w:r>
          </w:p>
        </w:tc>
        <w:tc>
          <w:tcPr>
            <w:tcW w:w="1860" w:type="dxa"/>
            <w:tcMar>
              <w:top w:w="0" w:type="dxa"/>
              <w:bottom w:w="0" w:type="dxa"/>
            </w:tcMar>
            <w:vAlign w:val="center"/>
          </w:tcPr>
          <w:p w14:paraId="3D45E4E3" w14:textId="77777777" w:rsidR="001539A9" w:rsidRDefault="00000000">
            <w:pPr>
              <w:keepNext/>
              <w:keepLines/>
              <w:spacing w:after="0" w:line="240" w:lineRule="auto"/>
              <w:jc w:val="right"/>
            </w:pPr>
            <w:r>
              <w:rPr>
                <w:sz w:val="18"/>
              </w:rPr>
              <w:t>527,63</w:t>
            </w:r>
          </w:p>
        </w:tc>
        <w:tc>
          <w:tcPr>
            <w:tcW w:w="700" w:type="dxa"/>
            <w:tcMar>
              <w:top w:w="0" w:type="dxa"/>
              <w:bottom w:w="0" w:type="dxa"/>
            </w:tcMar>
            <w:vAlign w:val="center"/>
          </w:tcPr>
          <w:p w14:paraId="3D6A9BAD" w14:textId="77777777" w:rsidR="001539A9" w:rsidRDefault="00000000">
            <w:pPr>
              <w:keepNext/>
              <w:keepLines/>
              <w:spacing w:after="0" w:line="240" w:lineRule="auto"/>
              <w:jc w:val="right"/>
            </w:pPr>
            <w:r>
              <w:rPr>
                <w:sz w:val="18"/>
              </w:rPr>
              <w:t>18,5</w:t>
            </w:r>
          </w:p>
        </w:tc>
      </w:tr>
    </w:tbl>
    <w:p w14:paraId="4B5F3723" w14:textId="77777777" w:rsidR="001539A9" w:rsidRDefault="001539A9">
      <w:pPr>
        <w:spacing w:after="0"/>
      </w:pPr>
    </w:p>
    <w:p w14:paraId="1ED309E4" w14:textId="77777777" w:rsidR="001539A9" w:rsidRDefault="00000000">
      <w:r>
        <w:t>Ovaj se iznos odnosi na obvezu za povrat u nadležni proračun.</w:t>
      </w:r>
    </w:p>
    <w:p w14:paraId="212F30F1" w14:textId="77777777" w:rsidR="001539A9" w:rsidRDefault="00000000">
      <w:r>
        <w:t> </w:t>
      </w:r>
    </w:p>
    <w:p w14:paraId="2A756179" w14:textId="77777777" w:rsidR="001539A9" w:rsidRDefault="001539A9"/>
    <w:p w14:paraId="74292337" w14:textId="77777777" w:rsidR="001539A9"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39492F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38E106"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1DA0A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A3CED"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F04AC2"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70B54B"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E7B64B" w14:textId="77777777" w:rsidR="001539A9" w:rsidRDefault="00000000">
            <w:pPr>
              <w:keepNext/>
              <w:keepLines/>
              <w:spacing w:after="0" w:line="240" w:lineRule="auto"/>
              <w:jc w:val="center"/>
            </w:pPr>
            <w:r>
              <w:rPr>
                <w:b/>
                <w:sz w:val="18"/>
              </w:rPr>
              <w:t>Indeks (%)</w:t>
            </w:r>
          </w:p>
        </w:tc>
      </w:tr>
      <w:tr w:rsidR="001539A9" w14:paraId="45296371" w14:textId="77777777">
        <w:tblPrEx>
          <w:tblCellMar>
            <w:top w:w="0" w:type="dxa"/>
            <w:bottom w:w="0" w:type="dxa"/>
          </w:tblCellMar>
        </w:tblPrEx>
        <w:trPr>
          <w:cantSplit/>
          <w:trHeight w:val="560"/>
        </w:trPr>
        <w:tc>
          <w:tcPr>
            <w:tcW w:w="700" w:type="dxa"/>
            <w:tcMar>
              <w:top w:w="0" w:type="dxa"/>
              <w:bottom w:w="0" w:type="dxa"/>
            </w:tcMar>
            <w:vAlign w:val="center"/>
          </w:tcPr>
          <w:p w14:paraId="47C2E775" w14:textId="77777777" w:rsidR="001539A9" w:rsidRDefault="00000000">
            <w:pPr>
              <w:keepNext/>
              <w:keepLines/>
              <w:spacing w:after="0" w:line="240" w:lineRule="auto"/>
            </w:pPr>
            <w:r>
              <w:rPr>
                <w:sz w:val="18"/>
              </w:rPr>
              <w:t>911</w:t>
            </w:r>
          </w:p>
        </w:tc>
        <w:tc>
          <w:tcPr>
            <w:tcW w:w="3180" w:type="dxa"/>
            <w:tcMar>
              <w:top w:w="0" w:type="dxa"/>
              <w:bottom w:w="0" w:type="dxa"/>
            </w:tcMar>
            <w:vAlign w:val="center"/>
          </w:tcPr>
          <w:p w14:paraId="1B365896" w14:textId="77777777" w:rsidR="001539A9" w:rsidRDefault="00000000">
            <w:pPr>
              <w:keepNext/>
              <w:keepLines/>
              <w:spacing w:after="0" w:line="240" w:lineRule="auto"/>
            </w:pPr>
            <w:r>
              <w:rPr>
                <w:sz w:val="18"/>
              </w:rPr>
              <w:t>Vlastiti izvori</w:t>
            </w:r>
          </w:p>
        </w:tc>
        <w:tc>
          <w:tcPr>
            <w:tcW w:w="700" w:type="dxa"/>
            <w:tcMar>
              <w:top w:w="0" w:type="dxa"/>
              <w:bottom w:w="0" w:type="dxa"/>
            </w:tcMar>
            <w:vAlign w:val="center"/>
          </w:tcPr>
          <w:p w14:paraId="0EF1273F" w14:textId="77777777" w:rsidR="001539A9" w:rsidRDefault="00000000">
            <w:pPr>
              <w:keepNext/>
              <w:keepLines/>
              <w:spacing w:after="0" w:line="240" w:lineRule="auto"/>
            </w:pPr>
            <w:r>
              <w:rPr>
                <w:sz w:val="18"/>
              </w:rPr>
              <w:t>911</w:t>
            </w:r>
          </w:p>
        </w:tc>
        <w:tc>
          <w:tcPr>
            <w:tcW w:w="1860" w:type="dxa"/>
            <w:tcMar>
              <w:top w:w="0" w:type="dxa"/>
              <w:bottom w:w="0" w:type="dxa"/>
            </w:tcMar>
            <w:vAlign w:val="center"/>
          </w:tcPr>
          <w:p w14:paraId="547B4A91" w14:textId="77777777" w:rsidR="001539A9" w:rsidRDefault="00000000">
            <w:pPr>
              <w:keepNext/>
              <w:keepLines/>
              <w:spacing w:after="0" w:line="240" w:lineRule="auto"/>
              <w:jc w:val="right"/>
            </w:pPr>
            <w:r>
              <w:rPr>
                <w:sz w:val="18"/>
              </w:rPr>
              <w:t>16.654,18</w:t>
            </w:r>
          </w:p>
        </w:tc>
        <w:tc>
          <w:tcPr>
            <w:tcW w:w="1860" w:type="dxa"/>
            <w:tcMar>
              <w:top w:w="0" w:type="dxa"/>
              <w:bottom w:w="0" w:type="dxa"/>
            </w:tcMar>
            <w:vAlign w:val="center"/>
          </w:tcPr>
          <w:p w14:paraId="18E87CBD" w14:textId="77777777" w:rsidR="001539A9" w:rsidRDefault="00000000">
            <w:pPr>
              <w:keepNext/>
              <w:keepLines/>
              <w:spacing w:after="0" w:line="240" w:lineRule="auto"/>
              <w:jc w:val="right"/>
            </w:pPr>
            <w:r>
              <w:rPr>
                <w:sz w:val="18"/>
              </w:rPr>
              <w:t>22.880,75</w:t>
            </w:r>
          </w:p>
        </w:tc>
        <w:tc>
          <w:tcPr>
            <w:tcW w:w="700" w:type="dxa"/>
            <w:tcMar>
              <w:top w:w="0" w:type="dxa"/>
              <w:bottom w:w="0" w:type="dxa"/>
            </w:tcMar>
            <w:vAlign w:val="center"/>
          </w:tcPr>
          <w:p w14:paraId="2A060CE5" w14:textId="77777777" w:rsidR="001539A9" w:rsidRDefault="00000000">
            <w:pPr>
              <w:keepNext/>
              <w:keepLines/>
              <w:spacing w:after="0" w:line="240" w:lineRule="auto"/>
              <w:jc w:val="right"/>
            </w:pPr>
            <w:r>
              <w:rPr>
                <w:sz w:val="18"/>
              </w:rPr>
              <w:t>137,4</w:t>
            </w:r>
          </w:p>
        </w:tc>
      </w:tr>
    </w:tbl>
    <w:p w14:paraId="5FD8AD02" w14:textId="77777777" w:rsidR="001539A9" w:rsidRDefault="001539A9">
      <w:pPr>
        <w:spacing w:after="0"/>
      </w:pPr>
    </w:p>
    <w:p w14:paraId="16720018" w14:textId="77777777" w:rsidR="001539A9" w:rsidRDefault="00000000">
      <w:r>
        <w:t xml:space="preserve">Vlastiti izvori na početku izvještajnog razdoblja iznosili su 16.654,18 eura, dok na kraju izvještajnog razdoblja iznose 22.880,75 eura. Povećanje vlastitih izvora posljedica je nabave </w:t>
      </w:r>
      <w:r>
        <w:lastRenderedPageBreak/>
        <w:t>dugotrajne materijalne imovine, povezane s preseljenjem Agencije u nove poslovne prostore (prijenosna računala, uredski namještaj, arhivske police, sustav za kontrolu pristupa).</w:t>
      </w:r>
    </w:p>
    <w:p w14:paraId="2E7A4E72" w14:textId="77777777" w:rsidR="001539A9" w:rsidRDefault="001539A9"/>
    <w:p w14:paraId="252027F5" w14:textId="77777777" w:rsidR="001539A9"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3F83CD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9B2D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3F2EA9"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DDE96"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10E7D"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159DC2"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521F33" w14:textId="77777777" w:rsidR="001539A9" w:rsidRDefault="00000000">
            <w:pPr>
              <w:keepNext/>
              <w:keepLines/>
              <w:spacing w:after="0" w:line="240" w:lineRule="auto"/>
              <w:jc w:val="center"/>
            </w:pPr>
            <w:r>
              <w:rPr>
                <w:b/>
                <w:sz w:val="18"/>
              </w:rPr>
              <w:t>Indeks (%)</w:t>
            </w:r>
          </w:p>
        </w:tc>
      </w:tr>
      <w:tr w:rsidR="001539A9" w14:paraId="25FB0818" w14:textId="77777777">
        <w:tblPrEx>
          <w:tblCellMar>
            <w:top w:w="0" w:type="dxa"/>
            <w:bottom w:w="0" w:type="dxa"/>
          </w:tblCellMar>
        </w:tblPrEx>
        <w:trPr>
          <w:cantSplit/>
          <w:trHeight w:val="560"/>
        </w:trPr>
        <w:tc>
          <w:tcPr>
            <w:tcW w:w="700" w:type="dxa"/>
            <w:tcMar>
              <w:top w:w="0" w:type="dxa"/>
              <w:bottom w:w="0" w:type="dxa"/>
            </w:tcMar>
            <w:vAlign w:val="center"/>
          </w:tcPr>
          <w:p w14:paraId="3E80EF18" w14:textId="77777777" w:rsidR="001539A9" w:rsidRDefault="00000000">
            <w:pPr>
              <w:keepNext/>
              <w:keepLines/>
              <w:spacing w:after="0" w:line="240" w:lineRule="auto"/>
            </w:pPr>
            <w:r>
              <w:rPr>
                <w:sz w:val="18"/>
              </w:rPr>
              <w:t>922</w:t>
            </w:r>
          </w:p>
        </w:tc>
        <w:tc>
          <w:tcPr>
            <w:tcW w:w="3180" w:type="dxa"/>
            <w:tcMar>
              <w:top w:w="0" w:type="dxa"/>
              <w:bottom w:w="0" w:type="dxa"/>
            </w:tcMar>
            <w:vAlign w:val="center"/>
          </w:tcPr>
          <w:p w14:paraId="7361434F" w14:textId="77777777" w:rsidR="001539A9"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560147F" w14:textId="77777777" w:rsidR="001539A9" w:rsidRDefault="00000000">
            <w:pPr>
              <w:keepNext/>
              <w:keepLines/>
              <w:spacing w:after="0" w:line="240" w:lineRule="auto"/>
            </w:pPr>
            <w:r>
              <w:rPr>
                <w:sz w:val="18"/>
              </w:rPr>
              <w:t>922</w:t>
            </w:r>
          </w:p>
        </w:tc>
        <w:tc>
          <w:tcPr>
            <w:tcW w:w="1860" w:type="dxa"/>
            <w:tcMar>
              <w:top w:w="0" w:type="dxa"/>
              <w:bottom w:w="0" w:type="dxa"/>
            </w:tcMar>
            <w:vAlign w:val="center"/>
          </w:tcPr>
          <w:p w14:paraId="01FF546F" w14:textId="77777777" w:rsidR="001539A9" w:rsidRDefault="00000000">
            <w:pPr>
              <w:keepNext/>
              <w:keepLines/>
              <w:spacing w:after="0" w:line="240" w:lineRule="auto"/>
              <w:jc w:val="right"/>
            </w:pPr>
            <w:r>
              <w:rPr>
                <w:sz w:val="18"/>
              </w:rPr>
              <w:t>1.268,63</w:t>
            </w:r>
          </w:p>
        </w:tc>
        <w:tc>
          <w:tcPr>
            <w:tcW w:w="1860" w:type="dxa"/>
            <w:tcMar>
              <w:top w:w="0" w:type="dxa"/>
              <w:bottom w:w="0" w:type="dxa"/>
            </w:tcMar>
            <w:vAlign w:val="center"/>
          </w:tcPr>
          <w:p w14:paraId="3B56E963" w14:textId="77777777" w:rsidR="001539A9" w:rsidRDefault="00000000">
            <w:pPr>
              <w:keepNext/>
              <w:keepLines/>
              <w:spacing w:after="0" w:line="240" w:lineRule="auto"/>
              <w:jc w:val="right"/>
            </w:pPr>
            <w:r>
              <w:rPr>
                <w:sz w:val="18"/>
              </w:rPr>
              <w:t>-56.271,07</w:t>
            </w:r>
          </w:p>
        </w:tc>
        <w:tc>
          <w:tcPr>
            <w:tcW w:w="700" w:type="dxa"/>
            <w:tcMar>
              <w:top w:w="0" w:type="dxa"/>
              <w:bottom w:w="0" w:type="dxa"/>
            </w:tcMar>
            <w:vAlign w:val="center"/>
          </w:tcPr>
          <w:p w14:paraId="10444440" w14:textId="77777777" w:rsidR="001539A9" w:rsidRDefault="00000000">
            <w:pPr>
              <w:keepNext/>
              <w:keepLines/>
              <w:spacing w:after="0" w:line="240" w:lineRule="auto"/>
              <w:jc w:val="right"/>
            </w:pPr>
            <w:r>
              <w:rPr>
                <w:sz w:val="18"/>
              </w:rPr>
              <w:t>-4435,6</w:t>
            </w:r>
          </w:p>
        </w:tc>
      </w:tr>
    </w:tbl>
    <w:p w14:paraId="2A724714" w14:textId="77777777" w:rsidR="001539A9" w:rsidRDefault="001539A9">
      <w:pPr>
        <w:spacing w:after="0"/>
      </w:pPr>
    </w:p>
    <w:p w14:paraId="7D1D933E" w14:textId="77777777" w:rsidR="001539A9" w:rsidRDefault="00000000">
      <w:r>
        <w:t>Za izvještajno razdoblje iskazan je ukupan manjak od 56.271,07 eura. Navedeni manjak rezultat je metodološkog i vremenskog nesklada u evidentiranju poslovnih događaja u sustavu riznice. </w:t>
      </w:r>
    </w:p>
    <w:p w14:paraId="72A6AE93" w14:textId="77777777" w:rsidR="001539A9" w:rsidRDefault="00000000">
      <w:r>
        <w:t>Rashodi za plaće evidentirani su u izvještajnom razdoblju sukladno načelu nastanka događaja, dok se prihod kojim se navedeni rashodi pokrivaju evidentira po zaprimanju izvoda o izvršenoj isplati sredstava iz sustava riznice. Budući da je izvod zaprimljen nakon 1. siječnja sljedeće proračunske godine, pripadajući prihod nije iskazan u izvještajnom razdoblju.</w:t>
      </w:r>
    </w:p>
    <w:p w14:paraId="7F8443BF" w14:textId="77777777" w:rsidR="001539A9" w:rsidRDefault="001539A9"/>
    <w:p w14:paraId="1027EA74" w14:textId="77777777" w:rsidR="001539A9"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7FC33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5A258D"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5F8204"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BAD98"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F6766"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FEA353"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CC76F4" w14:textId="77777777" w:rsidR="001539A9" w:rsidRDefault="00000000">
            <w:pPr>
              <w:keepNext/>
              <w:keepLines/>
              <w:spacing w:after="0" w:line="240" w:lineRule="auto"/>
              <w:jc w:val="center"/>
            </w:pPr>
            <w:r>
              <w:rPr>
                <w:b/>
                <w:sz w:val="18"/>
              </w:rPr>
              <w:t>Indeks (%)</w:t>
            </w:r>
          </w:p>
        </w:tc>
      </w:tr>
      <w:tr w:rsidR="001539A9" w14:paraId="4A922E2A" w14:textId="77777777">
        <w:tblPrEx>
          <w:tblCellMar>
            <w:top w:w="0" w:type="dxa"/>
            <w:bottom w:w="0" w:type="dxa"/>
          </w:tblCellMar>
        </w:tblPrEx>
        <w:trPr>
          <w:cantSplit/>
          <w:trHeight w:val="560"/>
        </w:trPr>
        <w:tc>
          <w:tcPr>
            <w:tcW w:w="700" w:type="dxa"/>
            <w:tcMar>
              <w:top w:w="0" w:type="dxa"/>
              <w:bottom w:w="0" w:type="dxa"/>
            </w:tcMar>
            <w:vAlign w:val="center"/>
          </w:tcPr>
          <w:p w14:paraId="2147ECF5" w14:textId="77777777" w:rsidR="001539A9" w:rsidRDefault="00000000">
            <w:pPr>
              <w:keepNext/>
              <w:keepLines/>
              <w:spacing w:after="0" w:line="240" w:lineRule="auto"/>
            </w:pPr>
            <w:r>
              <w:rPr>
                <w:sz w:val="18"/>
              </w:rPr>
              <w:t>9222</w:t>
            </w:r>
          </w:p>
        </w:tc>
        <w:tc>
          <w:tcPr>
            <w:tcW w:w="3180" w:type="dxa"/>
            <w:tcMar>
              <w:top w:w="0" w:type="dxa"/>
              <w:bottom w:w="0" w:type="dxa"/>
            </w:tcMar>
            <w:vAlign w:val="center"/>
          </w:tcPr>
          <w:p w14:paraId="5F5A3577" w14:textId="77777777" w:rsidR="001539A9"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22C1F47E" w14:textId="77777777" w:rsidR="001539A9" w:rsidRDefault="00000000">
            <w:pPr>
              <w:keepNext/>
              <w:keepLines/>
              <w:spacing w:after="0" w:line="240" w:lineRule="auto"/>
            </w:pPr>
            <w:r>
              <w:rPr>
                <w:sz w:val="18"/>
              </w:rPr>
              <w:t>9222</w:t>
            </w:r>
          </w:p>
        </w:tc>
        <w:tc>
          <w:tcPr>
            <w:tcW w:w="1860" w:type="dxa"/>
            <w:tcMar>
              <w:top w:w="0" w:type="dxa"/>
              <w:bottom w:w="0" w:type="dxa"/>
            </w:tcMar>
            <w:vAlign w:val="center"/>
          </w:tcPr>
          <w:p w14:paraId="05CD4C96"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2FFFBC8F" w14:textId="77777777" w:rsidR="001539A9" w:rsidRDefault="00000000">
            <w:pPr>
              <w:keepNext/>
              <w:keepLines/>
              <w:spacing w:after="0" w:line="240" w:lineRule="auto"/>
              <w:jc w:val="right"/>
            </w:pPr>
            <w:r>
              <w:rPr>
                <w:sz w:val="18"/>
              </w:rPr>
              <w:t>56.271,07</w:t>
            </w:r>
          </w:p>
        </w:tc>
        <w:tc>
          <w:tcPr>
            <w:tcW w:w="700" w:type="dxa"/>
            <w:tcMar>
              <w:top w:w="0" w:type="dxa"/>
              <w:bottom w:w="0" w:type="dxa"/>
            </w:tcMar>
            <w:vAlign w:val="center"/>
          </w:tcPr>
          <w:p w14:paraId="00F177EB" w14:textId="77777777" w:rsidR="001539A9" w:rsidRDefault="00000000">
            <w:pPr>
              <w:keepNext/>
              <w:keepLines/>
              <w:spacing w:after="0" w:line="240" w:lineRule="auto"/>
              <w:jc w:val="right"/>
            </w:pPr>
            <w:r>
              <w:rPr>
                <w:sz w:val="18"/>
              </w:rPr>
              <w:t>1219,4</w:t>
            </w:r>
          </w:p>
        </w:tc>
      </w:tr>
    </w:tbl>
    <w:p w14:paraId="6501D926" w14:textId="77777777" w:rsidR="001539A9" w:rsidRDefault="001539A9">
      <w:pPr>
        <w:spacing w:after="0"/>
      </w:pPr>
    </w:p>
    <w:p w14:paraId="12F46E95" w14:textId="77777777" w:rsidR="001539A9" w:rsidRDefault="00000000">
      <w:r>
        <w:t>Manjak prihoda i primitaka povećan je sa 4.614,54 eura na 56.271,07 eura na kraju izvještajnog razdoblja. Navedeni manjak rezultat je metodološkog i vremenskog nesklada u evidentiranju poslovnih događaja u sustavu riznice. </w:t>
      </w:r>
    </w:p>
    <w:p w14:paraId="4643138F" w14:textId="77777777" w:rsidR="001539A9" w:rsidRDefault="001539A9"/>
    <w:p w14:paraId="16522F17" w14:textId="77777777" w:rsidR="001539A9"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65D0D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E54C89"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B6130A"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5365C"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032517"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B2A9A4"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22BA97" w14:textId="77777777" w:rsidR="001539A9" w:rsidRDefault="00000000">
            <w:pPr>
              <w:keepNext/>
              <w:keepLines/>
              <w:spacing w:after="0" w:line="240" w:lineRule="auto"/>
              <w:jc w:val="center"/>
            </w:pPr>
            <w:r>
              <w:rPr>
                <w:b/>
                <w:sz w:val="18"/>
              </w:rPr>
              <w:t>Indeks (%)</w:t>
            </w:r>
          </w:p>
        </w:tc>
      </w:tr>
      <w:tr w:rsidR="001539A9" w14:paraId="40500849" w14:textId="77777777">
        <w:tblPrEx>
          <w:tblCellMar>
            <w:top w:w="0" w:type="dxa"/>
            <w:bottom w:w="0" w:type="dxa"/>
          </w:tblCellMar>
        </w:tblPrEx>
        <w:trPr>
          <w:cantSplit/>
          <w:trHeight w:val="560"/>
        </w:trPr>
        <w:tc>
          <w:tcPr>
            <w:tcW w:w="700" w:type="dxa"/>
            <w:tcMar>
              <w:top w:w="0" w:type="dxa"/>
              <w:bottom w:w="0" w:type="dxa"/>
            </w:tcMar>
            <w:vAlign w:val="center"/>
          </w:tcPr>
          <w:p w14:paraId="6AE238A7" w14:textId="77777777" w:rsidR="001539A9" w:rsidRDefault="00000000">
            <w:pPr>
              <w:keepNext/>
              <w:keepLines/>
              <w:spacing w:after="0" w:line="240" w:lineRule="auto"/>
            </w:pPr>
            <w:r>
              <w:rPr>
                <w:sz w:val="18"/>
              </w:rPr>
              <w:t>92222</w:t>
            </w:r>
          </w:p>
        </w:tc>
        <w:tc>
          <w:tcPr>
            <w:tcW w:w="3180" w:type="dxa"/>
            <w:tcMar>
              <w:top w:w="0" w:type="dxa"/>
              <w:bottom w:w="0" w:type="dxa"/>
            </w:tcMar>
            <w:vAlign w:val="center"/>
          </w:tcPr>
          <w:p w14:paraId="03A44F4A" w14:textId="77777777" w:rsidR="001539A9"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51827DA8" w14:textId="77777777" w:rsidR="001539A9" w:rsidRDefault="00000000">
            <w:pPr>
              <w:keepNext/>
              <w:keepLines/>
              <w:spacing w:after="0" w:line="240" w:lineRule="auto"/>
            </w:pPr>
            <w:r>
              <w:rPr>
                <w:sz w:val="18"/>
              </w:rPr>
              <w:t>92222</w:t>
            </w:r>
          </w:p>
        </w:tc>
        <w:tc>
          <w:tcPr>
            <w:tcW w:w="1860" w:type="dxa"/>
            <w:tcMar>
              <w:top w:w="0" w:type="dxa"/>
              <w:bottom w:w="0" w:type="dxa"/>
            </w:tcMar>
            <w:vAlign w:val="center"/>
          </w:tcPr>
          <w:p w14:paraId="161B8394" w14:textId="77777777" w:rsidR="001539A9" w:rsidRDefault="00000000">
            <w:pPr>
              <w:keepNext/>
              <w:keepLines/>
              <w:spacing w:after="0" w:line="240" w:lineRule="auto"/>
              <w:jc w:val="right"/>
            </w:pPr>
            <w:r>
              <w:rPr>
                <w:sz w:val="18"/>
              </w:rPr>
              <w:t>4.614,54</w:t>
            </w:r>
          </w:p>
        </w:tc>
        <w:tc>
          <w:tcPr>
            <w:tcW w:w="1860" w:type="dxa"/>
            <w:tcMar>
              <w:top w:w="0" w:type="dxa"/>
              <w:bottom w:w="0" w:type="dxa"/>
            </w:tcMar>
            <w:vAlign w:val="center"/>
          </w:tcPr>
          <w:p w14:paraId="38938DAC" w14:textId="77777777" w:rsidR="001539A9" w:rsidRDefault="00000000">
            <w:pPr>
              <w:keepNext/>
              <w:keepLines/>
              <w:spacing w:after="0" w:line="240" w:lineRule="auto"/>
              <w:jc w:val="right"/>
            </w:pPr>
            <w:r>
              <w:rPr>
                <w:sz w:val="18"/>
              </w:rPr>
              <w:t>9.821,06</w:t>
            </w:r>
          </w:p>
        </w:tc>
        <w:tc>
          <w:tcPr>
            <w:tcW w:w="700" w:type="dxa"/>
            <w:tcMar>
              <w:top w:w="0" w:type="dxa"/>
              <w:bottom w:w="0" w:type="dxa"/>
            </w:tcMar>
            <w:vAlign w:val="center"/>
          </w:tcPr>
          <w:p w14:paraId="0FAECF36" w14:textId="77777777" w:rsidR="001539A9" w:rsidRDefault="00000000">
            <w:pPr>
              <w:keepNext/>
              <w:keepLines/>
              <w:spacing w:after="0" w:line="240" w:lineRule="auto"/>
              <w:jc w:val="right"/>
            </w:pPr>
            <w:r>
              <w:rPr>
                <w:sz w:val="18"/>
              </w:rPr>
              <w:t>212,8</w:t>
            </w:r>
          </w:p>
        </w:tc>
      </w:tr>
    </w:tbl>
    <w:p w14:paraId="595A9ECD" w14:textId="77777777" w:rsidR="001539A9" w:rsidRDefault="001539A9">
      <w:pPr>
        <w:spacing w:after="0"/>
      </w:pPr>
    </w:p>
    <w:p w14:paraId="048B06DA" w14:textId="77777777" w:rsidR="001539A9" w:rsidRDefault="00000000">
      <w:r>
        <w:t>Manjak prihoda od nefinancijske imovine povećan je u odnosu na početak razdoblja zbog većih rashoda za nabavu nefinancijske imovine, dok istovremeno prihodi od prodaje nefinancijske imovine ne postoje.</w:t>
      </w:r>
    </w:p>
    <w:p w14:paraId="64928DA5" w14:textId="77777777" w:rsidR="001539A9" w:rsidRDefault="001539A9"/>
    <w:p w14:paraId="6550D279" w14:textId="77777777" w:rsidR="001539A9"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D6A08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A75C7F"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946D98"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3D4AEB"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FE607" w14:textId="77777777" w:rsidR="001539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D8470C" w14:textId="77777777" w:rsidR="001539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2A9385" w14:textId="77777777" w:rsidR="001539A9" w:rsidRDefault="00000000">
            <w:pPr>
              <w:keepNext/>
              <w:keepLines/>
              <w:spacing w:after="0" w:line="240" w:lineRule="auto"/>
              <w:jc w:val="center"/>
            </w:pPr>
            <w:r>
              <w:rPr>
                <w:b/>
                <w:sz w:val="18"/>
              </w:rPr>
              <w:t>Indeks (%)</w:t>
            </w:r>
          </w:p>
        </w:tc>
      </w:tr>
      <w:tr w:rsidR="001539A9" w14:paraId="6CDDA132" w14:textId="77777777">
        <w:tblPrEx>
          <w:tblCellMar>
            <w:top w:w="0" w:type="dxa"/>
            <w:bottom w:w="0" w:type="dxa"/>
          </w:tblCellMar>
        </w:tblPrEx>
        <w:trPr>
          <w:cantSplit/>
          <w:trHeight w:val="560"/>
        </w:trPr>
        <w:tc>
          <w:tcPr>
            <w:tcW w:w="700" w:type="dxa"/>
            <w:tcMar>
              <w:top w:w="0" w:type="dxa"/>
              <w:bottom w:w="0" w:type="dxa"/>
            </w:tcMar>
            <w:vAlign w:val="center"/>
          </w:tcPr>
          <w:p w14:paraId="77C366B5" w14:textId="77777777" w:rsidR="001539A9" w:rsidRDefault="00000000">
            <w:pPr>
              <w:keepNext/>
              <w:keepLines/>
              <w:spacing w:after="0" w:line="240" w:lineRule="auto"/>
            </w:pPr>
            <w:r>
              <w:rPr>
                <w:sz w:val="18"/>
              </w:rPr>
              <w:t>dio 23</w:t>
            </w:r>
          </w:p>
        </w:tc>
        <w:tc>
          <w:tcPr>
            <w:tcW w:w="3180" w:type="dxa"/>
            <w:tcMar>
              <w:top w:w="0" w:type="dxa"/>
              <w:bottom w:w="0" w:type="dxa"/>
            </w:tcMar>
            <w:vAlign w:val="center"/>
          </w:tcPr>
          <w:p w14:paraId="1E48305B" w14:textId="77777777" w:rsidR="001539A9"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5273DD9D" w14:textId="77777777" w:rsidR="001539A9" w:rsidRDefault="00000000">
            <w:pPr>
              <w:keepNext/>
              <w:keepLines/>
              <w:spacing w:after="0" w:line="240" w:lineRule="auto"/>
            </w:pPr>
            <w:r>
              <w:rPr>
                <w:sz w:val="18"/>
              </w:rPr>
              <w:t>dio 23 N</w:t>
            </w:r>
          </w:p>
        </w:tc>
        <w:tc>
          <w:tcPr>
            <w:tcW w:w="1860" w:type="dxa"/>
            <w:tcMar>
              <w:top w:w="0" w:type="dxa"/>
              <w:bottom w:w="0" w:type="dxa"/>
            </w:tcMar>
            <w:vAlign w:val="center"/>
          </w:tcPr>
          <w:p w14:paraId="42099F9C" w14:textId="77777777" w:rsidR="001539A9" w:rsidRDefault="00000000">
            <w:pPr>
              <w:keepNext/>
              <w:keepLines/>
              <w:spacing w:after="0" w:line="240" w:lineRule="auto"/>
              <w:jc w:val="right"/>
            </w:pPr>
            <w:r>
              <w:rPr>
                <w:sz w:val="18"/>
              </w:rPr>
              <w:t>59.387,80</w:t>
            </w:r>
          </w:p>
        </w:tc>
        <w:tc>
          <w:tcPr>
            <w:tcW w:w="1860" w:type="dxa"/>
            <w:tcMar>
              <w:top w:w="0" w:type="dxa"/>
              <w:bottom w:w="0" w:type="dxa"/>
            </w:tcMar>
            <w:vAlign w:val="center"/>
          </w:tcPr>
          <w:p w14:paraId="063CF9C5" w14:textId="77777777" w:rsidR="001539A9" w:rsidRDefault="00000000">
            <w:pPr>
              <w:keepNext/>
              <w:keepLines/>
              <w:spacing w:after="0" w:line="240" w:lineRule="auto"/>
              <w:jc w:val="right"/>
            </w:pPr>
            <w:r>
              <w:rPr>
                <w:sz w:val="18"/>
              </w:rPr>
              <w:t>55.144,74</w:t>
            </w:r>
          </w:p>
        </w:tc>
        <w:tc>
          <w:tcPr>
            <w:tcW w:w="700" w:type="dxa"/>
            <w:tcMar>
              <w:top w:w="0" w:type="dxa"/>
              <w:bottom w:w="0" w:type="dxa"/>
            </w:tcMar>
            <w:vAlign w:val="center"/>
          </w:tcPr>
          <w:p w14:paraId="6C46A2BA" w14:textId="77777777" w:rsidR="001539A9" w:rsidRDefault="00000000">
            <w:pPr>
              <w:keepNext/>
              <w:keepLines/>
              <w:spacing w:after="0" w:line="240" w:lineRule="auto"/>
              <w:jc w:val="right"/>
            </w:pPr>
            <w:r>
              <w:rPr>
                <w:sz w:val="18"/>
              </w:rPr>
              <w:t>92,9</w:t>
            </w:r>
          </w:p>
        </w:tc>
      </w:tr>
    </w:tbl>
    <w:p w14:paraId="0D7DDD19" w14:textId="77777777" w:rsidR="001539A9" w:rsidRDefault="001539A9">
      <w:pPr>
        <w:spacing w:after="0"/>
      </w:pPr>
    </w:p>
    <w:p w14:paraId="3097CB25" w14:textId="77777777" w:rsidR="001539A9" w:rsidRDefault="00000000">
      <w:r>
        <w:t>Sve su obveze za rashode poslovanja nedospjele.</w:t>
      </w:r>
    </w:p>
    <w:p w14:paraId="4A5913B9" w14:textId="77777777" w:rsidR="001539A9" w:rsidRDefault="001539A9"/>
    <w:p w14:paraId="56566C68" w14:textId="77777777" w:rsidR="001539A9" w:rsidRDefault="00000000">
      <w:pPr>
        <w:keepNext/>
        <w:spacing w:line="240" w:lineRule="auto"/>
        <w:jc w:val="center"/>
      </w:pPr>
      <w:r>
        <w:rPr>
          <w:b/>
          <w:sz w:val="28"/>
        </w:rPr>
        <w:t>Izvještaj o rashodima prema funkcijskoj klasifikaciji</w:t>
      </w:r>
    </w:p>
    <w:p w14:paraId="4C89C791" w14:textId="77777777" w:rsidR="001539A9"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418846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B9F432"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D9F8E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FA957"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803124" w14:textId="77777777" w:rsidR="001539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EA174E" w14:textId="77777777" w:rsidR="001539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8CF463" w14:textId="77777777" w:rsidR="001539A9" w:rsidRDefault="00000000">
            <w:pPr>
              <w:keepNext/>
              <w:keepLines/>
              <w:spacing w:after="0" w:line="240" w:lineRule="auto"/>
              <w:jc w:val="center"/>
            </w:pPr>
            <w:r>
              <w:rPr>
                <w:b/>
                <w:sz w:val="18"/>
              </w:rPr>
              <w:t>Indeks (%)</w:t>
            </w:r>
          </w:p>
        </w:tc>
      </w:tr>
      <w:tr w:rsidR="001539A9" w14:paraId="2C5416B0" w14:textId="77777777">
        <w:tblPrEx>
          <w:tblCellMar>
            <w:top w:w="0" w:type="dxa"/>
            <w:bottom w:w="0" w:type="dxa"/>
          </w:tblCellMar>
        </w:tblPrEx>
        <w:trPr>
          <w:cantSplit/>
          <w:trHeight w:val="560"/>
        </w:trPr>
        <w:tc>
          <w:tcPr>
            <w:tcW w:w="700" w:type="dxa"/>
            <w:tcMar>
              <w:top w:w="0" w:type="dxa"/>
              <w:bottom w:w="0" w:type="dxa"/>
            </w:tcMar>
            <w:vAlign w:val="center"/>
          </w:tcPr>
          <w:p w14:paraId="240FAE03" w14:textId="77777777" w:rsidR="001539A9" w:rsidRDefault="00000000">
            <w:pPr>
              <w:keepNext/>
              <w:keepLines/>
              <w:spacing w:after="0" w:line="240" w:lineRule="auto"/>
            </w:pPr>
            <w:r>
              <w:rPr>
                <w:sz w:val="18"/>
              </w:rPr>
              <w:t>0131</w:t>
            </w:r>
          </w:p>
        </w:tc>
        <w:tc>
          <w:tcPr>
            <w:tcW w:w="3180" w:type="dxa"/>
            <w:tcMar>
              <w:top w:w="0" w:type="dxa"/>
              <w:bottom w:w="0" w:type="dxa"/>
            </w:tcMar>
            <w:vAlign w:val="center"/>
          </w:tcPr>
          <w:p w14:paraId="089376A5" w14:textId="77777777" w:rsidR="001539A9" w:rsidRDefault="00000000">
            <w:pPr>
              <w:keepNext/>
              <w:keepLines/>
              <w:spacing w:after="0" w:line="240" w:lineRule="auto"/>
            </w:pPr>
            <w:r>
              <w:rPr>
                <w:sz w:val="18"/>
              </w:rPr>
              <w:t>Opće usluge vezane za službenike</w:t>
            </w:r>
          </w:p>
        </w:tc>
        <w:tc>
          <w:tcPr>
            <w:tcW w:w="700" w:type="dxa"/>
            <w:tcMar>
              <w:top w:w="0" w:type="dxa"/>
              <w:bottom w:w="0" w:type="dxa"/>
            </w:tcMar>
            <w:vAlign w:val="center"/>
          </w:tcPr>
          <w:p w14:paraId="1C3B4B58" w14:textId="77777777" w:rsidR="001539A9" w:rsidRDefault="00000000">
            <w:pPr>
              <w:keepNext/>
              <w:keepLines/>
              <w:spacing w:after="0" w:line="240" w:lineRule="auto"/>
            </w:pPr>
            <w:r>
              <w:rPr>
                <w:sz w:val="18"/>
              </w:rPr>
              <w:t>0131</w:t>
            </w:r>
          </w:p>
        </w:tc>
        <w:tc>
          <w:tcPr>
            <w:tcW w:w="1860" w:type="dxa"/>
            <w:tcMar>
              <w:top w:w="0" w:type="dxa"/>
              <w:bottom w:w="0" w:type="dxa"/>
            </w:tcMar>
            <w:vAlign w:val="center"/>
          </w:tcPr>
          <w:p w14:paraId="29C639AD" w14:textId="77777777" w:rsidR="001539A9" w:rsidRDefault="00000000">
            <w:pPr>
              <w:keepNext/>
              <w:keepLines/>
              <w:spacing w:after="0" w:line="240" w:lineRule="auto"/>
              <w:jc w:val="right"/>
            </w:pPr>
            <w:r>
              <w:rPr>
                <w:sz w:val="18"/>
              </w:rPr>
              <w:t>677.257,05</w:t>
            </w:r>
          </w:p>
        </w:tc>
        <w:tc>
          <w:tcPr>
            <w:tcW w:w="1860" w:type="dxa"/>
            <w:tcMar>
              <w:top w:w="0" w:type="dxa"/>
              <w:bottom w:w="0" w:type="dxa"/>
            </w:tcMar>
            <w:vAlign w:val="center"/>
          </w:tcPr>
          <w:p w14:paraId="349F58FF" w14:textId="77777777" w:rsidR="001539A9" w:rsidRDefault="00000000">
            <w:pPr>
              <w:keepNext/>
              <w:keepLines/>
              <w:spacing w:after="0" w:line="240" w:lineRule="auto"/>
              <w:jc w:val="right"/>
            </w:pPr>
            <w:r>
              <w:rPr>
                <w:sz w:val="18"/>
              </w:rPr>
              <w:t>779.402,29</w:t>
            </w:r>
          </w:p>
        </w:tc>
        <w:tc>
          <w:tcPr>
            <w:tcW w:w="700" w:type="dxa"/>
            <w:tcMar>
              <w:top w:w="0" w:type="dxa"/>
              <w:bottom w:w="0" w:type="dxa"/>
            </w:tcMar>
            <w:vAlign w:val="center"/>
          </w:tcPr>
          <w:p w14:paraId="6025FC7C" w14:textId="77777777" w:rsidR="001539A9" w:rsidRDefault="00000000">
            <w:pPr>
              <w:keepNext/>
              <w:keepLines/>
              <w:spacing w:after="0" w:line="240" w:lineRule="auto"/>
              <w:jc w:val="right"/>
            </w:pPr>
            <w:r>
              <w:rPr>
                <w:sz w:val="18"/>
              </w:rPr>
              <w:t>115,1</w:t>
            </w:r>
          </w:p>
        </w:tc>
      </w:tr>
    </w:tbl>
    <w:p w14:paraId="30F71828" w14:textId="77777777" w:rsidR="001539A9" w:rsidRDefault="001539A9">
      <w:pPr>
        <w:spacing w:after="0"/>
      </w:pPr>
    </w:p>
    <w:p w14:paraId="1266958B" w14:textId="77777777" w:rsidR="001539A9" w:rsidRDefault="00000000">
      <w:r>
        <w:t>Rashodi u okviru funkcije općih usluga vezanih za službenike na početku izvještajnog razdoblja iznosili su 677.257,05 eura, dok na kraju izvještajnog razdoblja iznose 779.402,29 eura. Povećanje rashoda rezultat je povećanja rashoda za zaposlene i materijalnih rashoda tijekom izvještajnog razdoblja.</w:t>
      </w:r>
    </w:p>
    <w:p w14:paraId="0483B544" w14:textId="77777777" w:rsidR="001539A9" w:rsidRDefault="001539A9"/>
    <w:p w14:paraId="4BCD94EB" w14:textId="77777777" w:rsidR="001539A9" w:rsidRDefault="00000000">
      <w:pPr>
        <w:keepNext/>
        <w:spacing w:line="240" w:lineRule="auto"/>
        <w:jc w:val="center"/>
      </w:pPr>
      <w:r>
        <w:rPr>
          <w:b/>
          <w:sz w:val="28"/>
        </w:rPr>
        <w:t>Promjene u vrijednosti i obujmu imovine i obveza</w:t>
      </w:r>
    </w:p>
    <w:p w14:paraId="28D6E373" w14:textId="77777777" w:rsidR="001539A9"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39A9" w14:paraId="7C964C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E071B7"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77697F"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71C2F"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0F20B" w14:textId="77777777" w:rsidR="001539A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D7267F6" w14:textId="77777777" w:rsidR="001539A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90B2BA6" w14:textId="77777777" w:rsidR="001539A9" w:rsidRDefault="00000000">
            <w:pPr>
              <w:keepNext/>
              <w:keepLines/>
              <w:spacing w:after="0" w:line="240" w:lineRule="auto"/>
              <w:jc w:val="center"/>
            </w:pPr>
            <w:r>
              <w:rPr>
                <w:b/>
                <w:sz w:val="18"/>
              </w:rPr>
              <w:t>Indeks (%)</w:t>
            </w:r>
          </w:p>
        </w:tc>
      </w:tr>
      <w:tr w:rsidR="001539A9" w14:paraId="4F0CFD98" w14:textId="77777777">
        <w:tblPrEx>
          <w:tblCellMar>
            <w:top w:w="0" w:type="dxa"/>
            <w:bottom w:w="0" w:type="dxa"/>
          </w:tblCellMar>
        </w:tblPrEx>
        <w:trPr>
          <w:cantSplit/>
          <w:trHeight w:val="560"/>
        </w:trPr>
        <w:tc>
          <w:tcPr>
            <w:tcW w:w="700" w:type="dxa"/>
            <w:tcMar>
              <w:top w:w="0" w:type="dxa"/>
              <w:bottom w:w="0" w:type="dxa"/>
            </w:tcMar>
            <w:vAlign w:val="center"/>
          </w:tcPr>
          <w:p w14:paraId="2D06A7B6" w14:textId="77777777" w:rsidR="001539A9" w:rsidRDefault="001539A9">
            <w:pPr>
              <w:keepNext/>
              <w:keepLines/>
              <w:spacing w:after="0" w:line="240" w:lineRule="auto"/>
            </w:pPr>
          </w:p>
        </w:tc>
        <w:tc>
          <w:tcPr>
            <w:tcW w:w="3180" w:type="dxa"/>
            <w:tcMar>
              <w:top w:w="0" w:type="dxa"/>
              <w:bottom w:w="0" w:type="dxa"/>
            </w:tcMar>
            <w:vAlign w:val="center"/>
          </w:tcPr>
          <w:p w14:paraId="735CC842" w14:textId="77777777" w:rsidR="001539A9"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97B6F55" w14:textId="77777777" w:rsidR="001539A9" w:rsidRDefault="00000000">
            <w:pPr>
              <w:keepNext/>
              <w:keepLines/>
              <w:spacing w:after="0" w:line="240" w:lineRule="auto"/>
            </w:pPr>
            <w:r>
              <w:rPr>
                <w:sz w:val="18"/>
              </w:rPr>
              <w:t>P003</w:t>
            </w:r>
          </w:p>
        </w:tc>
        <w:tc>
          <w:tcPr>
            <w:tcW w:w="1860" w:type="dxa"/>
            <w:tcMar>
              <w:top w:w="0" w:type="dxa"/>
              <w:bottom w:w="0" w:type="dxa"/>
            </w:tcMar>
            <w:vAlign w:val="center"/>
          </w:tcPr>
          <w:p w14:paraId="1F6AE453" w14:textId="77777777" w:rsidR="001539A9" w:rsidRDefault="00000000">
            <w:pPr>
              <w:keepNext/>
              <w:keepLines/>
              <w:spacing w:after="0" w:line="240" w:lineRule="auto"/>
              <w:jc w:val="right"/>
            </w:pPr>
            <w:r>
              <w:rPr>
                <w:sz w:val="18"/>
              </w:rPr>
              <w:t>0,00</w:t>
            </w:r>
          </w:p>
        </w:tc>
        <w:tc>
          <w:tcPr>
            <w:tcW w:w="1860" w:type="dxa"/>
            <w:tcMar>
              <w:top w:w="0" w:type="dxa"/>
              <w:bottom w:w="0" w:type="dxa"/>
            </w:tcMar>
            <w:vAlign w:val="center"/>
          </w:tcPr>
          <w:p w14:paraId="62C612D3" w14:textId="77777777" w:rsidR="001539A9" w:rsidRDefault="00000000">
            <w:pPr>
              <w:keepNext/>
              <w:keepLines/>
              <w:spacing w:after="0" w:line="240" w:lineRule="auto"/>
              <w:jc w:val="right"/>
            </w:pPr>
            <w:r>
              <w:rPr>
                <w:sz w:val="18"/>
              </w:rPr>
              <w:t>7.579,68</w:t>
            </w:r>
          </w:p>
        </w:tc>
        <w:tc>
          <w:tcPr>
            <w:tcW w:w="700" w:type="dxa"/>
            <w:tcMar>
              <w:top w:w="0" w:type="dxa"/>
              <w:bottom w:w="0" w:type="dxa"/>
            </w:tcMar>
            <w:vAlign w:val="center"/>
          </w:tcPr>
          <w:p w14:paraId="63CD1E37" w14:textId="77777777" w:rsidR="001539A9" w:rsidRDefault="00000000">
            <w:pPr>
              <w:keepNext/>
              <w:keepLines/>
              <w:spacing w:after="0" w:line="240" w:lineRule="auto"/>
              <w:jc w:val="right"/>
            </w:pPr>
            <w:r>
              <w:rPr>
                <w:sz w:val="18"/>
              </w:rPr>
              <w:t>-</w:t>
            </w:r>
          </w:p>
        </w:tc>
      </w:tr>
    </w:tbl>
    <w:p w14:paraId="40699359" w14:textId="77777777" w:rsidR="001539A9" w:rsidRDefault="001539A9">
      <w:pPr>
        <w:spacing w:after="0"/>
      </w:pPr>
    </w:p>
    <w:p w14:paraId="2D46A316" w14:textId="77777777" w:rsidR="001539A9" w:rsidRDefault="00000000">
      <w:r>
        <w:t>Navedeni iznos odnosi se na amortizaciju odnosno ispravak vrijednosti dugotrajne imovine za 2025. godinu.</w:t>
      </w:r>
    </w:p>
    <w:p w14:paraId="09EB5019" w14:textId="77777777" w:rsidR="001539A9" w:rsidRDefault="001539A9"/>
    <w:p w14:paraId="236C7F0A" w14:textId="77777777" w:rsidR="001539A9" w:rsidRDefault="00000000">
      <w:pPr>
        <w:keepNext/>
        <w:spacing w:line="240" w:lineRule="auto"/>
        <w:jc w:val="center"/>
      </w:pPr>
      <w:r>
        <w:rPr>
          <w:b/>
          <w:sz w:val="28"/>
        </w:rPr>
        <w:t>Izvještaj o obvezama</w:t>
      </w:r>
    </w:p>
    <w:p w14:paraId="14525FB4" w14:textId="77777777" w:rsidR="001539A9"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39A9" w14:paraId="2832BD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2E314A" w14:textId="77777777" w:rsidR="001539A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25C6DE" w14:textId="77777777" w:rsidR="001539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AE419" w14:textId="77777777" w:rsidR="001539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1D8ECB" w14:textId="77777777" w:rsidR="001539A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AFBC7F3" w14:textId="77777777" w:rsidR="001539A9" w:rsidRDefault="00000000">
            <w:pPr>
              <w:keepNext/>
              <w:keepLines/>
              <w:spacing w:after="0" w:line="240" w:lineRule="auto"/>
              <w:jc w:val="center"/>
            </w:pPr>
            <w:r>
              <w:rPr>
                <w:b/>
                <w:sz w:val="18"/>
              </w:rPr>
              <w:t>Indeks (%)</w:t>
            </w:r>
          </w:p>
        </w:tc>
      </w:tr>
      <w:tr w:rsidR="001539A9" w14:paraId="285180EF" w14:textId="77777777">
        <w:tblPrEx>
          <w:tblCellMar>
            <w:top w:w="0" w:type="dxa"/>
            <w:bottom w:w="0" w:type="dxa"/>
          </w:tblCellMar>
        </w:tblPrEx>
        <w:trPr>
          <w:cantSplit/>
          <w:trHeight w:val="560"/>
        </w:trPr>
        <w:tc>
          <w:tcPr>
            <w:tcW w:w="700" w:type="dxa"/>
            <w:tcMar>
              <w:top w:w="0" w:type="dxa"/>
              <w:bottom w:w="0" w:type="dxa"/>
            </w:tcMar>
            <w:vAlign w:val="center"/>
          </w:tcPr>
          <w:p w14:paraId="3D8B544B" w14:textId="77777777" w:rsidR="001539A9" w:rsidRDefault="001539A9">
            <w:pPr>
              <w:keepNext/>
              <w:keepLines/>
              <w:spacing w:after="0" w:line="240" w:lineRule="auto"/>
            </w:pPr>
          </w:p>
        </w:tc>
        <w:tc>
          <w:tcPr>
            <w:tcW w:w="3180" w:type="dxa"/>
            <w:tcMar>
              <w:top w:w="0" w:type="dxa"/>
              <w:bottom w:w="0" w:type="dxa"/>
            </w:tcMar>
            <w:vAlign w:val="center"/>
          </w:tcPr>
          <w:p w14:paraId="252DA068" w14:textId="77777777" w:rsidR="001539A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26F837B" w14:textId="77777777" w:rsidR="001539A9" w:rsidRDefault="00000000">
            <w:pPr>
              <w:keepNext/>
              <w:keepLines/>
              <w:spacing w:after="0" w:line="240" w:lineRule="auto"/>
            </w:pPr>
            <w:r>
              <w:rPr>
                <w:sz w:val="18"/>
              </w:rPr>
              <w:t>V007</w:t>
            </w:r>
          </w:p>
        </w:tc>
        <w:tc>
          <w:tcPr>
            <w:tcW w:w="1860" w:type="dxa"/>
            <w:tcMar>
              <w:top w:w="0" w:type="dxa"/>
              <w:bottom w:w="0" w:type="dxa"/>
            </w:tcMar>
            <w:vAlign w:val="center"/>
          </w:tcPr>
          <w:p w14:paraId="6B13ED62" w14:textId="77777777" w:rsidR="001539A9" w:rsidRDefault="00000000">
            <w:pPr>
              <w:keepNext/>
              <w:keepLines/>
              <w:spacing w:after="0" w:line="240" w:lineRule="auto"/>
              <w:jc w:val="right"/>
            </w:pPr>
            <w:r>
              <w:rPr>
                <w:sz w:val="18"/>
              </w:rPr>
              <w:t>0,00</w:t>
            </w:r>
          </w:p>
        </w:tc>
        <w:tc>
          <w:tcPr>
            <w:tcW w:w="700" w:type="dxa"/>
            <w:tcMar>
              <w:top w:w="0" w:type="dxa"/>
              <w:bottom w:w="0" w:type="dxa"/>
            </w:tcMar>
            <w:vAlign w:val="center"/>
          </w:tcPr>
          <w:p w14:paraId="7686B16C" w14:textId="77777777" w:rsidR="001539A9" w:rsidRDefault="00000000">
            <w:pPr>
              <w:keepNext/>
              <w:keepLines/>
              <w:spacing w:after="0" w:line="240" w:lineRule="auto"/>
              <w:jc w:val="right"/>
            </w:pPr>
            <w:r>
              <w:rPr>
                <w:sz w:val="18"/>
              </w:rPr>
              <w:t>-</w:t>
            </w:r>
          </w:p>
        </w:tc>
      </w:tr>
    </w:tbl>
    <w:p w14:paraId="59CC1EAC" w14:textId="77777777" w:rsidR="001539A9" w:rsidRDefault="001539A9">
      <w:pPr>
        <w:spacing w:after="0"/>
      </w:pPr>
    </w:p>
    <w:p w14:paraId="06C1A220" w14:textId="77777777" w:rsidR="001539A9" w:rsidRDefault="00000000">
      <w:r>
        <w:t>Sve nepodmirene obveze na kraju izvještajnog razdoblja su nedospjele.</w:t>
      </w:r>
    </w:p>
    <w:p w14:paraId="4D755FD8" w14:textId="77777777" w:rsidR="001539A9" w:rsidRDefault="001539A9"/>
    <w:sectPr w:rsidR="00153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A9"/>
    <w:rsid w:val="001539A9"/>
    <w:rsid w:val="003C6DA1"/>
    <w:rsid w:val="00BE5B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3A23"/>
  <w15:docId w15:val="{105BEC0F-F044-4A49-A9D0-052EE451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4156</Words>
  <Characters>23693</Characters>
  <Application>Microsoft Office Word</Application>
  <DocSecurity>0</DocSecurity>
  <Lines>197</Lines>
  <Paragraphs>55</Paragraphs>
  <ScaleCrop>false</ScaleCrop>
  <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cp:lastModifiedBy>Ured VTA</cp:lastModifiedBy>
  <cp:revision>2</cp:revision>
  <dcterms:created xsi:type="dcterms:W3CDTF">2026-02-09T10:33:00Z</dcterms:created>
  <dcterms:modified xsi:type="dcterms:W3CDTF">2026-02-09T10:33:00Z</dcterms:modified>
</cp:coreProperties>
</file>